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6E" w:rsidRPr="00EA548E" w:rsidRDefault="00EA548E" w:rsidP="00EA548E">
      <w:pPr>
        <w:jc w:val="center"/>
        <w:rPr>
          <w:b/>
          <w:bCs/>
          <w:noProof/>
          <w:color w:val="002060"/>
          <w:sz w:val="28"/>
          <w:szCs w:val="28"/>
          <w:u w:val="single"/>
          <w:rtl/>
          <w:lang w:val="en-US" w:bidi="ar-MA"/>
        </w:rPr>
      </w:pPr>
      <w:r>
        <w:rPr>
          <w:rFonts w:hint="cs"/>
          <w:b/>
          <w:bCs/>
          <w:noProof/>
          <w:color w:val="002060"/>
          <w:sz w:val="28"/>
          <w:szCs w:val="28"/>
          <w:u w:val="single"/>
          <w:rtl/>
          <w:lang w:val="en-US" w:bidi="ar-MA"/>
        </w:rPr>
        <w:t>المحاور والمواضيع الخاصة بالتكوين الحضوري الموجهة للأساتذة الجدد</w:t>
      </w:r>
    </w:p>
    <w:p w:rsidR="004D036E" w:rsidRDefault="004D036E">
      <w:pPr>
        <w:rPr>
          <w:noProof/>
        </w:rPr>
      </w:pPr>
    </w:p>
    <w:tbl>
      <w:tblPr>
        <w:tblStyle w:val="Grillemoyenne3-Accent3"/>
        <w:tblW w:w="8805" w:type="dxa"/>
        <w:jc w:val="center"/>
        <w:tblLook w:val="00A0"/>
      </w:tblPr>
      <w:tblGrid>
        <w:gridCol w:w="6530"/>
        <w:gridCol w:w="2275"/>
      </w:tblGrid>
      <w:tr w:rsidR="00EA548E" w:rsidTr="00EA548E">
        <w:trPr>
          <w:cnfStyle w:val="100000000000"/>
          <w:trHeight w:val="593"/>
          <w:jc w:val="center"/>
        </w:trPr>
        <w:tc>
          <w:tcPr>
            <w:cnfStyle w:val="001000000000"/>
            <w:tcW w:w="6530" w:type="dxa"/>
            <w:vMerge w:val="restart"/>
          </w:tcPr>
          <w:p w:rsidR="00EA548E" w:rsidRPr="00EA548E" w:rsidRDefault="00EA548E" w:rsidP="00EA548E">
            <w:pPr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t>المواضــــــــيع</w:t>
            </w:r>
          </w:p>
        </w:tc>
        <w:tc>
          <w:tcPr>
            <w:cnfStyle w:val="000010000000"/>
            <w:tcW w:w="2275" w:type="dxa"/>
            <w:vMerge w:val="restart"/>
          </w:tcPr>
          <w:p w:rsidR="00EA548E" w:rsidRPr="00EA548E" w:rsidRDefault="00EA548E" w:rsidP="00EA548E">
            <w:pPr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t>المحور 01</w:t>
            </w:r>
          </w:p>
        </w:tc>
      </w:tr>
      <w:tr w:rsidR="00EA548E" w:rsidTr="00EA548E">
        <w:trPr>
          <w:cnfStyle w:val="000000100000"/>
          <w:trHeight w:val="491"/>
          <w:jc w:val="center"/>
        </w:trPr>
        <w:tc>
          <w:tcPr>
            <w:cnfStyle w:val="001000000000"/>
            <w:tcW w:w="6530" w:type="dxa"/>
            <w:vMerge/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</w:tr>
      <w:tr w:rsidR="00EA548E" w:rsidTr="00EA548E">
        <w:trPr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سياسة وهدف التكوين الجامعي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المسؤولية المعنوية والتمهينية للجامعة</w:t>
            </w:r>
          </w:p>
        </w:tc>
        <w:tc>
          <w:tcPr>
            <w:cnfStyle w:val="000010000000"/>
            <w:tcW w:w="2275" w:type="dxa"/>
            <w:vMerge w:val="restart"/>
            <w:textDirection w:val="tbRlV"/>
          </w:tcPr>
          <w:p w:rsidR="00EA548E" w:rsidRPr="003417D7" w:rsidRDefault="00EA548E" w:rsidP="00EA548E">
            <w:pPr>
              <w:ind w:left="113" w:right="113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417D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إطار العمل</w:t>
            </w:r>
          </w:p>
        </w:tc>
      </w:tr>
      <w:tr w:rsidR="00EA548E" w:rsidTr="00EA548E">
        <w:trPr>
          <w:cnfStyle w:val="000000100000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3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التعيم والتكوين والعلاقات الانسانية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3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الغاية من التكوين الجامعي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jc w:val="center"/>
              <w:rPr>
                <w:noProof/>
              </w:rPr>
            </w:pPr>
          </w:p>
        </w:tc>
      </w:tr>
      <w:tr w:rsidR="00EA548E" w:rsidTr="00EA548E">
        <w:trPr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التكوين الجامعي بين نظام ل.م.د. النظام الكلاسيكي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jc w:val="center"/>
              <w:rPr>
                <w:noProof/>
              </w:rPr>
            </w:pPr>
          </w:p>
        </w:tc>
      </w:tr>
      <w:tr w:rsidR="00EA548E" w:rsidTr="00EA548E">
        <w:trPr>
          <w:cnfStyle w:val="000000100000"/>
          <w:trHeight w:val="593"/>
          <w:jc w:val="center"/>
        </w:trPr>
        <w:tc>
          <w:tcPr>
            <w:cnfStyle w:val="001000000000"/>
            <w:tcW w:w="6530" w:type="dxa"/>
            <w:vMerge w:val="restart"/>
          </w:tcPr>
          <w:p w:rsidR="00EA548E" w:rsidRPr="00EA548E" w:rsidRDefault="00EA548E" w:rsidP="00EA548E">
            <w:pPr>
              <w:bidi/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t>المواضــــــــيع</w:t>
            </w:r>
          </w:p>
        </w:tc>
        <w:tc>
          <w:tcPr>
            <w:cnfStyle w:val="000010000000"/>
            <w:tcW w:w="2275" w:type="dxa"/>
            <w:vMerge w:val="restart"/>
          </w:tcPr>
          <w:p w:rsidR="00EA548E" w:rsidRPr="00EA548E" w:rsidRDefault="00EA548E" w:rsidP="00EA548E">
            <w:pPr>
              <w:bidi/>
              <w:jc w:val="center"/>
              <w:rPr>
                <w:b/>
                <w:bCs/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b/>
                <w:bCs/>
                <w:noProof/>
                <w:color w:val="FFFF00"/>
                <w:sz w:val="28"/>
                <w:szCs w:val="28"/>
                <w:rtl/>
              </w:rPr>
              <w:t>المحور 02</w:t>
            </w:r>
          </w:p>
        </w:tc>
      </w:tr>
      <w:tr w:rsidR="00EA548E" w:rsidTr="00EA548E">
        <w:trPr>
          <w:trHeight w:val="491"/>
          <w:jc w:val="center"/>
        </w:trPr>
        <w:tc>
          <w:tcPr>
            <w:cnfStyle w:val="001000000000"/>
            <w:tcW w:w="6530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  <w:rtl/>
              </w:rPr>
            </w:pP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  <w:rtl/>
              </w:rPr>
            </w:pPr>
          </w:p>
        </w:tc>
      </w:tr>
      <w:tr w:rsidR="00EA548E" w:rsidTr="00EA548E">
        <w:trPr>
          <w:cnfStyle w:val="000000100000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6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البيداغوجيا وعلم النفس التربوي في تدريب /تكوين المتكون</w:t>
            </w:r>
          </w:p>
          <w:p w:rsidR="00EA548E" w:rsidRPr="00EA548E" w:rsidRDefault="00EA548E" w:rsidP="00EA548E">
            <w:pPr>
              <w:pStyle w:val="Paragraphedeliste"/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2275" w:type="dxa"/>
            <w:vMerge w:val="restart"/>
            <w:textDirection w:val="tbRlV"/>
          </w:tcPr>
          <w:p w:rsidR="00EA548E" w:rsidRDefault="00EA548E" w:rsidP="00EA548E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البيداغوجية الجامعية، تعليمية التخصصات</w:t>
            </w:r>
          </w:p>
          <w:p w:rsidR="00EA548E" w:rsidRPr="003417D7" w:rsidRDefault="00EA548E" w:rsidP="00EA548E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وجودة التعليم</w:t>
            </w:r>
          </w:p>
        </w:tc>
      </w:tr>
      <w:tr w:rsidR="00EA548E" w:rsidTr="00EA548E">
        <w:trPr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8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تقنيات وتنشيط فرق التكوين والإشراف</w:t>
            </w:r>
          </w:p>
          <w:p w:rsidR="00EA548E" w:rsidRPr="00EA548E" w:rsidRDefault="00EA548E" w:rsidP="00EA548E">
            <w:pPr>
              <w:pStyle w:val="Paragraphedeliste"/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  <w:tr w:rsidR="00EA548E" w:rsidTr="00EA548E">
        <w:trPr>
          <w:cnfStyle w:val="000000100000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9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تقييم الكفاءات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  <w:tr w:rsidR="00EA548E" w:rsidTr="00EA548E">
        <w:trPr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0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ورقة الطريق لمشاريع الطالب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10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دفتر التعلم وورقة الطريق في النشاط التكويني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  <w:tr w:rsidR="00EA548E" w:rsidTr="00EA548E">
        <w:trPr>
          <w:cnfStyle w:val="000000100000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2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الخصائص البيداغوجية والتعليمية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  <w:tr w:rsidR="00EA548E" w:rsidTr="00EA548E">
        <w:trPr>
          <w:trHeight w:val="929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3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حقيبة الأشغال، تربصات، المحتويات التطبيقية، وكيفيات الإدارة وشبكات التقييم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13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مسار تكوين الطالب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  <w:tr w:rsidR="00EA548E" w:rsidTr="00EA548E">
        <w:trPr>
          <w:cnfStyle w:val="000000100000"/>
          <w:jc w:val="center"/>
        </w:trPr>
        <w:tc>
          <w:tcPr>
            <w:cnfStyle w:val="001000000000"/>
            <w:tcW w:w="6530" w:type="dxa"/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5"/>
              </w:numPr>
              <w:bidi/>
              <w:ind w:left="360"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طرق وكيفيات إعداد برامج تكوين ذات نوعية جيدة</w:t>
            </w:r>
          </w:p>
        </w:tc>
        <w:tc>
          <w:tcPr>
            <w:cnfStyle w:val="000010000000"/>
            <w:tcW w:w="2275" w:type="dxa"/>
            <w:vMerge/>
          </w:tcPr>
          <w:p w:rsidR="00EA548E" w:rsidRDefault="00EA548E" w:rsidP="00EA548E">
            <w:pPr>
              <w:bidi/>
              <w:jc w:val="center"/>
              <w:rPr>
                <w:noProof/>
              </w:rPr>
            </w:pPr>
          </w:p>
        </w:tc>
      </w:tr>
    </w:tbl>
    <w:p w:rsidR="00EA548E" w:rsidRDefault="00EA548E">
      <w:pPr>
        <w:rPr>
          <w:noProof/>
          <w:rtl/>
        </w:rPr>
      </w:pPr>
    </w:p>
    <w:p w:rsidR="00EA548E" w:rsidRDefault="00EA548E">
      <w:pPr>
        <w:rPr>
          <w:noProof/>
          <w:rtl/>
        </w:rPr>
      </w:pPr>
    </w:p>
    <w:p w:rsidR="00EA548E" w:rsidRDefault="00EA548E">
      <w:pPr>
        <w:rPr>
          <w:noProof/>
          <w:rtl/>
        </w:rPr>
      </w:pPr>
    </w:p>
    <w:p w:rsidR="00EA548E" w:rsidRDefault="00EA548E">
      <w:pPr>
        <w:rPr>
          <w:noProof/>
          <w:rtl/>
        </w:rPr>
      </w:pPr>
    </w:p>
    <w:p w:rsidR="00EA548E" w:rsidRDefault="00EA548E">
      <w:pPr>
        <w:rPr>
          <w:noProof/>
          <w:rtl/>
        </w:rPr>
      </w:pPr>
    </w:p>
    <w:tbl>
      <w:tblPr>
        <w:tblStyle w:val="Tramemoyenne2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2"/>
        <w:gridCol w:w="2409"/>
      </w:tblGrid>
      <w:tr w:rsidR="00EA548E" w:rsidTr="00EA548E">
        <w:trPr>
          <w:cnfStyle w:val="100000000000"/>
          <w:trHeight w:val="593"/>
          <w:jc w:val="center"/>
        </w:trPr>
        <w:tc>
          <w:tcPr>
            <w:cnfStyle w:val="001000000100"/>
            <w:tcW w:w="66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lastRenderedPageBreak/>
              <w:t>المواضــــــــيع</w:t>
            </w:r>
          </w:p>
        </w:tc>
        <w:tc>
          <w:tcPr>
            <w:cnfStyle w:val="000010000000"/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t>المحور 03</w:t>
            </w:r>
          </w:p>
        </w:tc>
      </w:tr>
      <w:tr w:rsidR="00EA548E" w:rsidTr="00EA548E">
        <w:trPr>
          <w:cnfStyle w:val="000000100000"/>
          <w:trHeight w:val="491"/>
          <w:jc w:val="center"/>
        </w:trPr>
        <w:tc>
          <w:tcPr>
            <w:cnfStyle w:val="001000000000"/>
            <w:tcW w:w="666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</w:tr>
      <w:tr w:rsidR="00EA548E" w:rsidTr="00EA548E">
        <w:trPr>
          <w:trHeight w:val="1606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6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التوعية بأهمية تكنولوجيات الإعلام والاتصال كوسيلة تعليمية وبيداغوجية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16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التمكن من أدوات ومنصات التعلم عن بعد</w:t>
            </w:r>
          </w:p>
        </w:tc>
        <w:tc>
          <w:tcPr>
            <w:cnfStyle w:val="000010000000"/>
            <w:tcW w:w="24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2A4401" w:rsidRDefault="00EA548E" w:rsidP="00EA548E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2A44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تكنولوجيا الإعلام والا</w:t>
            </w:r>
            <w:r w:rsidR="00F61090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</w:t>
            </w:r>
            <w:r w:rsidRPr="002A44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صال في الوسط البيداغوجي</w:t>
            </w:r>
          </w:p>
        </w:tc>
      </w:tr>
      <w:tr w:rsidR="00EA548E" w:rsidTr="00EA548E">
        <w:trPr>
          <w:cnfStyle w:val="000000100000"/>
          <w:trHeight w:val="1685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18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التوعية بأهمية تكنولوجيات الإعلام والاتصال في البحث المعلوماتي النوعي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19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التمكن من أدوات تكنولوجيات الإعلام والاتصال في الوسط البحثي</w:t>
            </w:r>
          </w:p>
        </w:tc>
        <w:tc>
          <w:tcPr>
            <w:cnfStyle w:val="000010000000"/>
            <w:tcW w:w="24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2A4401" w:rsidRDefault="00EA548E" w:rsidP="00EA548E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2A44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تكنولوجيا الإعلام والا</w:t>
            </w:r>
            <w:r w:rsidR="00F61090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ت</w:t>
            </w:r>
            <w:r w:rsidRPr="002A44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صال في الوسط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البحثي</w:t>
            </w:r>
          </w:p>
        </w:tc>
      </w:tr>
      <w:tr w:rsidR="00EA548E" w:rsidTr="00EA548E">
        <w:trPr>
          <w:trHeight w:val="1411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0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التحكم وإنجاز بطاقات وثائقية</w:t>
            </w:r>
          </w:p>
        </w:tc>
        <w:tc>
          <w:tcPr>
            <w:cnfStyle w:val="000010000000"/>
            <w:tcW w:w="24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FC4BB0" w:rsidRDefault="00EA548E" w:rsidP="00EA548E">
            <w:pPr>
              <w:ind w:left="113" w:right="113"/>
              <w:jc w:val="center"/>
              <w:rPr>
                <w:b/>
                <w:bCs/>
                <w:noProof/>
              </w:rPr>
            </w:pPr>
            <w:r w:rsidRPr="00FC4BB0">
              <w:rPr>
                <w:rFonts w:hint="cs"/>
                <w:b/>
                <w:bCs/>
                <w:noProof/>
                <w:rtl/>
              </w:rPr>
              <w:t>تقنيات البحث البيبليوغرافي وإعداد وثائق تلائم مسار التكوين</w:t>
            </w:r>
          </w:p>
        </w:tc>
      </w:tr>
      <w:tr w:rsidR="00EA548E" w:rsidTr="00EA548E">
        <w:trPr>
          <w:cnfStyle w:val="000000100000"/>
          <w:trHeight w:val="593"/>
          <w:jc w:val="center"/>
        </w:trPr>
        <w:tc>
          <w:tcPr>
            <w:cnfStyle w:val="001000000000"/>
            <w:tcW w:w="666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noProof/>
                <w:color w:val="FFFF0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FFFF00"/>
                <w:sz w:val="28"/>
                <w:szCs w:val="28"/>
                <w:rtl/>
              </w:rPr>
              <w:t>المواضــــــــيع</w:t>
            </w:r>
          </w:p>
        </w:tc>
        <w:tc>
          <w:tcPr>
            <w:cnfStyle w:val="000010000000"/>
            <w:tcW w:w="24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المحور 04</w:t>
            </w:r>
          </w:p>
        </w:tc>
      </w:tr>
      <w:tr w:rsidR="00EA548E" w:rsidTr="00EA548E">
        <w:trPr>
          <w:trHeight w:val="491"/>
          <w:jc w:val="center"/>
        </w:trPr>
        <w:tc>
          <w:tcPr>
            <w:cnfStyle w:val="001000000000"/>
            <w:tcW w:w="666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</w:tr>
      <w:tr w:rsidR="00EA548E" w:rsidTr="00EA548E">
        <w:trPr>
          <w:cnfStyle w:val="000000100000"/>
          <w:trHeight w:val="667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1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الآداب والأخلاقيات في التعليم الجامعي</w:t>
            </w:r>
          </w:p>
        </w:tc>
        <w:tc>
          <w:tcPr>
            <w:cnfStyle w:val="000010000000"/>
            <w:tcW w:w="24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2A4401" w:rsidRDefault="00EA548E" w:rsidP="00EA548E">
            <w:pPr>
              <w:ind w:left="113" w:right="113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البحث العلمي والانفتاح على المحيط الخارجي</w:t>
            </w:r>
          </w:p>
        </w:tc>
      </w:tr>
      <w:tr w:rsidR="00EA548E" w:rsidTr="00EA548E">
        <w:trPr>
          <w:trHeight w:val="549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2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دور ومهام البحث</w:t>
            </w: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2A4401" w:rsidRDefault="00EA548E" w:rsidP="00EA548E">
            <w:pPr>
              <w:ind w:left="113" w:right="11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EA548E" w:rsidTr="00EA548E">
        <w:trPr>
          <w:cnfStyle w:val="000000100000"/>
          <w:trHeight w:val="571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3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العلاقات الخارجية</w:t>
            </w: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FC4BB0" w:rsidRDefault="00EA548E" w:rsidP="00EA548E">
            <w:pPr>
              <w:ind w:left="113" w:right="113"/>
              <w:jc w:val="center"/>
              <w:rPr>
                <w:b/>
                <w:bCs/>
                <w:noProof/>
              </w:rPr>
            </w:pPr>
          </w:p>
        </w:tc>
      </w:tr>
      <w:tr w:rsidR="00EA548E" w:rsidTr="00EA548E">
        <w:trPr>
          <w:trHeight w:val="692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4"/>
              </w:numPr>
              <w:bidi/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الانخراط في النظام البيئي</w:t>
            </w: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tbRlV"/>
          </w:tcPr>
          <w:p w:rsidR="00EA548E" w:rsidRPr="00FC4BB0" w:rsidRDefault="00EA548E" w:rsidP="00EA548E">
            <w:pPr>
              <w:ind w:left="113" w:right="113"/>
              <w:jc w:val="center"/>
              <w:rPr>
                <w:b/>
                <w:bCs/>
                <w:noProof/>
              </w:rPr>
            </w:pPr>
          </w:p>
        </w:tc>
      </w:tr>
      <w:tr w:rsidR="00EA548E" w:rsidTr="00EA548E">
        <w:trPr>
          <w:cnfStyle w:val="000000100000"/>
          <w:trHeight w:val="593"/>
          <w:jc w:val="center"/>
        </w:trPr>
        <w:tc>
          <w:tcPr>
            <w:cnfStyle w:val="001000000000"/>
            <w:tcW w:w="666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</w:rPr>
              <w:t>المواضــــــــيع</w:t>
            </w:r>
          </w:p>
        </w:tc>
        <w:tc>
          <w:tcPr>
            <w:cnfStyle w:val="000010000000"/>
            <w:tcW w:w="24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b/>
                <w:bCs/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المحور 05</w:t>
            </w:r>
          </w:p>
        </w:tc>
      </w:tr>
      <w:tr w:rsidR="00EA548E" w:rsidTr="00EA548E">
        <w:trPr>
          <w:trHeight w:val="570"/>
          <w:jc w:val="center"/>
        </w:trPr>
        <w:tc>
          <w:tcPr>
            <w:cnfStyle w:val="001000000000"/>
            <w:tcW w:w="666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jc w:val="center"/>
              <w:rPr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/>
            <w:tcW w:w="24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Default="00EA548E" w:rsidP="00EA548E">
            <w:pPr>
              <w:jc w:val="center"/>
              <w:rPr>
                <w:noProof/>
                <w:rtl/>
              </w:rPr>
            </w:pPr>
          </w:p>
        </w:tc>
      </w:tr>
      <w:tr w:rsidR="00EA548E" w:rsidTr="00EA548E">
        <w:trPr>
          <w:cnfStyle w:val="000000100000"/>
          <w:trHeight w:val="1464"/>
          <w:jc w:val="center"/>
        </w:trPr>
        <w:tc>
          <w:tcPr>
            <w:cnfStyle w:val="001000000000"/>
            <w:tcW w:w="66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548E" w:rsidRPr="00EA548E" w:rsidRDefault="00EA548E" w:rsidP="00EA548E">
            <w:pPr>
              <w:pStyle w:val="Paragraphedeliste"/>
              <w:numPr>
                <w:ilvl w:val="0"/>
                <w:numId w:val="25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حصص تعليم اللغة</w:t>
            </w:r>
          </w:p>
          <w:p w:rsidR="00EA548E" w:rsidRPr="00EA548E" w:rsidRDefault="00EA548E" w:rsidP="00EA548E">
            <w:pPr>
              <w:pStyle w:val="Paragraphedeliste"/>
              <w:numPr>
                <w:ilvl w:val="0"/>
                <w:numId w:val="25"/>
              </w:numPr>
              <w:bidi/>
              <w:jc w:val="center"/>
              <w:rPr>
                <w:noProof/>
                <w:color w:val="002060"/>
                <w:sz w:val="28"/>
                <w:szCs w:val="28"/>
              </w:rPr>
            </w:pPr>
            <w:r w:rsidRPr="00EA548E">
              <w:rPr>
                <w:rFonts w:hint="cs"/>
                <w:noProof/>
                <w:color w:val="002060"/>
                <w:sz w:val="28"/>
                <w:szCs w:val="28"/>
                <w:rtl/>
                <w:lang w:bidi="ar-DZ"/>
              </w:rPr>
              <w:t>تقنيات التعليم الكتابي</w:t>
            </w:r>
          </w:p>
        </w:tc>
        <w:tc>
          <w:tcPr>
            <w:cnfStyle w:val="000010000000"/>
            <w:tcW w:w="2409" w:type="dxa"/>
            <w:tcBorders>
              <w:left w:val="none" w:sz="0" w:space="0" w:color="auto"/>
              <w:right w:val="none" w:sz="0" w:space="0" w:color="auto"/>
            </w:tcBorders>
            <w:textDirection w:val="tbRlV"/>
          </w:tcPr>
          <w:p w:rsidR="00EA548E" w:rsidRPr="003417D7" w:rsidRDefault="00EA548E" w:rsidP="00EA548E">
            <w:pPr>
              <w:ind w:left="113" w:right="113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الكفاءات اللغوية</w:t>
            </w:r>
          </w:p>
        </w:tc>
      </w:tr>
    </w:tbl>
    <w:p w:rsidR="00777CDF" w:rsidRDefault="00777CDF">
      <w:pPr>
        <w:rPr>
          <w:rtl/>
        </w:rPr>
      </w:pPr>
    </w:p>
    <w:p w:rsidR="00777CDF" w:rsidRDefault="00777CDF"/>
    <w:sectPr w:rsidR="00777CDF" w:rsidSect="00DF7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952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5BF"/>
    <w:multiLevelType w:val="hybridMultilevel"/>
    <w:tmpl w:val="80DABB70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A1C"/>
    <w:multiLevelType w:val="hybridMultilevel"/>
    <w:tmpl w:val="1ABE674C"/>
    <w:lvl w:ilvl="0" w:tplc="BC7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1F1"/>
    <w:multiLevelType w:val="hybridMultilevel"/>
    <w:tmpl w:val="80DABB70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C68"/>
    <w:multiLevelType w:val="hybridMultilevel"/>
    <w:tmpl w:val="9A1253D4"/>
    <w:lvl w:ilvl="0" w:tplc="61FA43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4D7"/>
    <w:multiLevelType w:val="hybridMultilevel"/>
    <w:tmpl w:val="80DABB70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5885"/>
    <w:multiLevelType w:val="hybridMultilevel"/>
    <w:tmpl w:val="0ECAA5D2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4C3"/>
    <w:multiLevelType w:val="hybridMultilevel"/>
    <w:tmpl w:val="80DABB70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E5540"/>
    <w:multiLevelType w:val="hybridMultilevel"/>
    <w:tmpl w:val="1ABE674C"/>
    <w:lvl w:ilvl="0" w:tplc="BC7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831DF"/>
    <w:multiLevelType w:val="hybridMultilevel"/>
    <w:tmpl w:val="1ABE674C"/>
    <w:lvl w:ilvl="0" w:tplc="BC7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F5938"/>
    <w:multiLevelType w:val="hybridMultilevel"/>
    <w:tmpl w:val="1ABE674C"/>
    <w:lvl w:ilvl="0" w:tplc="BC7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574B4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2146D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E6DCD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65441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4F62"/>
    <w:multiLevelType w:val="hybridMultilevel"/>
    <w:tmpl w:val="1ABE674C"/>
    <w:lvl w:ilvl="0" w:tplc="BC7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1162"/>
    <w:multiLevelType w:val="hybridMultilevel"/>
    <w:tmpl w:val="7F3EEE40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3EC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65DA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E48E4"/>
    <w:multiLevelType w:val="hybridMultilevel"/>
    <w:tmpl w:val="0ECAA5D2"/>
    <w:lvl w:ilvl="0" w:tplc="7374B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94FD0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338BE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906FD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219EC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2427A"/>
    <w:multiLevelType w:val="hybridMultilevel"/>
    <w:tmpl w:val="96860196"/>
    <w:lvl w:ilvl="0" w:tplc="B3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4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22"/>
  </w:num>
  <w:num w:numId="9">
    <w:abstractNumId w:val="17"/>
  </w:num>
  <w:num w:numId="10">
    <w:abstractNumId w:val="13"/>
  </w:num>
  <w:num w:numId="11">
    <w:abstractNumId w:val="16"/>
  </w:num>
  <w:num w:numId="12">
    <w:abstractNumId w:val="21"/>
  </w:num>
  <w:num w:numId="13">
    <w:abstractNumId w:val="20"/>
  </w:num>
  <w:num w:numId="14">
    <w:abstractNumId w:val="11"/>
  </w:num>
  <w:num w:numId="15">
    <w:abstractNumId w:val="23"/>
  </w:num>
  <w:num w:numId="16">
    <w:abstractNumId w:val="19"/>
  </w:num>
  <w:num w:numId="17">
    <w:abstractNumId w:val="7"/>
  </w:num>
  <w:num w:numId="18">
    <w:abstractNumId w:val="12"/>
  </w:num>
  <w:num w:numId="19">
    <w:abstractNumId w:val="18"/>
  </w:num>
  <w:num w:numId="20">
    <w:abstractNumId w:val="9"/>
  </w:num>
  <w:num w:numId="21">
    <w:abstractNumId w:val="6"/>
  </w:num>
  <w:num w:numId="22">
    <w:abstractNumId w:val="14"/>
  </w:num>
  <w:num w:numId="23">
    <w:abstractNumId w:val="2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636E8"/>
    <w:rsid w:val="00106264"/>
    <w:rsid w:val="00117F2F"/>
    <w:rsid w:val="0014368A"/>
    <w:rsid w:val="00196265"/>
    <w:rsid w:val="002624C4"/>
    <w:rsid w:val="002636E8"/>
    <w:rsid w:val="002A27ED"/>
    <w:rsid w:val="002A4401"/>
    <w:rsid w:val="00314F72"/>
    <w:rsid w:val="003417D7"/>
    <w:rsid w:val="00372760"/>
    <w:rsid w:val="003739AD"/>
    <w:rsid w:val="003C334B"/>
    <w:rsid w:val="004D036E"/>
    <w:rsid w:val="00511747"/>
    <w:rsid w:val="00590B9D"/>
    <w:rsid w:val="005A77C2"/>
    <w:rsid w:val="005D2272"/>
    <w:rsid w:val="005E249D"/>
    <w:rsid w:val="00752CDD"/>
    <w:rsid w:val="00777CDF"/>
    <w:rsid w:val="007A24E9"/>
    <w:rsid w:val="007E395D"/>
    <w:rsid w:val="008E1FE7"/>
    <w:rsid w:val="008F7687"/>
    <w:rsid w:val="00905A63"/>
    <w:rsid w:val="0093638F"/>
    <w:rsid w:val="0095157D"/>
    <w:rsid w:val="0096538C"/>
    <w:rsid w:val="009818D0"/>
    <w:rsid w:val="00A15D84"/>
    <w:rsid w:val="00B25BD8"/>
    <w:rsid w:val="00B26E73"/>
    <w:rsid w:val="00BD39D7"/>
    <w:rsid w:val="00BE06CC"/>
    <w:rsid w:val="00C069D7"/>
    <w:rsid w:val="00C166F0"/>
    <w:rsid w:val="00C37E24"/>
    <w:rsid w:val="00C87C74"/>
    <w:rsid w:val="00CD16B8"/>
    <w:rsid w:val="00D43BC3"/>
    <w:rsid w:val="00D636B9"/>
    <w:rsid w:val="00DA7CA8"/>
    <w:rsid w:val="00DF7605"/>
    <w:rsid w:val="00E15D0D"/>
    <w:rsid w:val="00E82BC7"/>
    <w:rsid w:val="00EA548E"/>
    <w:rsid w:val="00F47A12"/>
    <w:rsid w:val="00F61090"/>
    <w:rsid w:val="00F67F16"/>
    <w:rsid w:val="00F92587"/>
    <w:rsid w:val="00F967E1"/>
    <w:rsid w:val="00FA4518"/>
    <w:rsid w:val="00FC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D0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818D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D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D0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17D7"/>
    <w:pPr>
      <w:ind w:left="720"/>
      <w:contextualSpacing/>
    </w:pPr>
  </w:style>
  <w:style w:type="table" w:styleId="Grillecouleur-Accent2">
    <w:name w:val="Colorful Grid Accent 2"/>
    <w:basedOn w:val="TableauNormal"/>
    <w:uiPriority w:val="73"/>
    <w:rsid w:val="00EA548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E6" w:themeFill="accent2" w:themeFillTint="33"/>
    </w:tcPr>
    <w:tblStylePr w:type="firstRow">
      <w:rPr>
        <w:b/>
        <w:bCs/>
      </w:rPr>
      <w:tblPr/>
      <w:tcPr>
        <w:shd w:val="clear" w:color="auto" w:fill="D7DF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Grillemoyenne3-Accent5">
    <w:name w:val="Medium Grid 3 Accent 5"/>
    <w:basedOn w:val="TableauNormal"/>
    <w:uiPriority w:val="69"/>
    <w:rsid w:val="00EA548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5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5E4" w:themeFill="accent5" w:themeFillTint="7F"/>
      </w:tcPr>
    </w:tblStylePr>
  </w:style>
  <w:style w:type="table" w:styleId="Grillemoyenne3-Accent2">
    <w:name w:val="Medium Grid 3 Accent 2"/>
    <w:basedOn w:val="TableauNormal"/>
    <w:uiPriority w:val="69"/>
    <w:rsid w:val="00EA548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7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7C1" w:themeFill="accent2" w:themeFillTint="7F"/>
      </w:tcPr>
    </w:tblStylePr>
  </w:style>
  <w:style w:type="table" w:styleId="Tramemoyenne2-Accent2">
    <w:name w:val="Medium Shading 2 Accent 2"/>
    <w:basedOn w:val="TableauNormal"/>
    <w:uiPriority w:val="64"/>
    <w:rsid w:val="00EA54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EA548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B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8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8E4" w:themeFill="accent3" w:themeFillTint="7F"/>
      </w:tcPr>
    </w:tblStylePr>
  </w:style>
  <w:style w:type="table" w:styleId="Tramemoyenne2-Accent3">
    <w:name w:val="Medium Shading 2 Accent 3"/>
    <w:basedOn w:val="TableauNormal"/>
    <w:uiPriority w:val="64"/>
    <w:rsid w:val="00EA54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badro</cp:lastModifiedBy>
  <cp:revision>3</cp:revision>
  <dcterms:created xsi:type="dcterms:W3CDTF">2025-01-25T14:23:00Z</dcterms:created>
  <dcterms:modified xsi:type="dcterms:W3CDTF">2025-01-26T13:35:00Z</dcterms:modified>
</cp:coreProperties>
</file>