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</w:t>
      </w:r>
      <w:r w:rsidDel="00000000" w:rsidR="00000000" w:rsidRPr="00000000">
        <w:rPr>
          <w:rtl w:val="0"/>
        </w:rPr>
      </w:r>
    </w:p>
    <w:tbl>
      <w:tblPr>
        <w:tblStyle w:val="Table1"/>
        <w:tblW w:w="10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06"/>
        <w:tblGridChange w:id="0">
          <w:tblGrid>
            <w:gridCol w:w="10606"/>
          </w:tblGrid>
        </w:tblGridChange>
      </w:tblGrid>
      <w:tr>
        <w:trPr>
          <w:cantSplit w:val="0"/>
          <w:tblHeader w:val="0"/>
        </w:trPr>
        <w:tc>
          <w:tcPr>
            <w:shd w:fill="e52713" w:val="clear"/>
            <w:vAlign w:val="center"/>
          </w:tcPr>
          <w:p w:rsidR="00000000" w:rsidDel="00000000" w:rsidP="00000000" w:rsidRDefault="00000000" w:rsidRPr="00000000" w14:paraId="00000002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28"/>
                <w:szCs w:val="28"/>
                <w:rtl w:val="0"/>
              </w:rPr>
              <w:t xml:space="preserve">Connaissance de l’entreprise</w:t>
            </w:r>
          </w:p>
          <w:p w:rsidR="00000000" w:rsidDel="00000000" w:rsidP="00000000" w:rsidRDefault="00000000" w:rsidRPr="00000000" w14:paraId="00000003">
            <w:pPr>
              <w:pStyle w:val="Heading1"/>
              <w:spacing w:after="0" w:before="0" w:lineRule="auto"/>
              <w:rPr>
                <w:rFonts w:ascii="Times New Roman" w:cs="Times New Roman" w:eastAsia="Times New Roman" w:hAnsi="Times New Roman"/>
                <w:b w:val="0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ffff"/>
                <w:sz w:val="44"/>
                <w:szCs w:val="44"/>
                <w:rtl w:val="0"/>
              </w:rPr>
              <w:t xml:space="preserve">Fiche Projet 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Groupe :  </w:t>
        <w:tab/>
        <w:tab/>
        <w:tab/>
        <w:tab/>
        <w:tab/>
        <w:tab/>
        <w:tab/>
        <w:tab/>
        <w:t xml:space="preserve">Nom de l’intervenant 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 des membres de l’équipe 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Enora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Nadine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Elouan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Ianis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Elvire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00000" w:space="1" w:sz="4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Choix stratégiques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88" w:lineRule="auto"/>
        <w:ind w:left="714" w:right="0" w:hanging="35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Réalisez une carte de positionnement stratégique de votre projet et de la concurrence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Vous pouvez utiliser les axes proposés dans le cours ou trouver des axes plus personnels et adaptés à votre projet.</w:t>
      </w:r>
    </w:p>
    <w:p w:rsidR="00000000" w:rsidDel="00000000" w:rsidP="00000000" w:rsidRDefault="00000000" w:rsidRPr="00000000" w14:paraId="00000010">
      <w:pPr>
        <w:spacing w:after="142" w:line="288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</w:rPr>
        <mc:AlternateContent>
          <mc:Choice Requires="wpg">
            <w:drawing>
              <wp:inline distB="114300" distT="114300" distL="114300" distR="114300">
                <wp:extent cx="6645600" cy="4293113"/>
                <wp:effectExtent b="0" l="0" r="0" t="0"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31200" y="191375"/>
                          <a:ext cx="6645600" cy="4293113"/>
                          <a:chOff x="331200" y="191375"/>
                          <a:chExt cx="9045500" cy="5838225"/>
                        </a:xfrm>
                      </wpg:grpSpPr>
                      <wps:wsp>
                        <wps:cNvCnPr/>
                        <wps:spPr>
                          <a:xfrm>
                            <a:off x="623400" y="3224150"/>
                            <a:ext cx="79095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stealth"/>
                            <a:tailEnd len="med" w="med" type="triangl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CnPr/>
                        <wps:spPr>
                          <a:xfrm>
                            <a:off x="4597575" y="409100"/>
                            <a:ext cx="0" cy="56205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triangle"/>
                            <a:tailEnd len="med" w="med" type="triangl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4" name="Shape 4"/>
                        <wps:spPr>
                          <a:xfrm>
                            <a:off x="535725" y="2172150"/>
                            <a:ext cx="13539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Coûts faible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8022800" y="2172150"/>
                            <a:ext cx="13539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Coûts élevés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4769450" y="191375"/>
                            <a:ext cx="13539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Cible large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7" name="Shape 7"/>
                        <wps:spPr>
                          <a:xfrm>
                            <a:off x="4793500" y="5629400"/>
                            <a:ext cx="13539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Cible étroite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/>
                        <wps:cNvPr id="8" name="Shape 8"/>
                        <wps:spPr>
                          <a:xfrm>
                            <a:off x="2659175" y="4022875"/>
                            <a:ext cx="1227300" cy="8313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Notre entreprise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9" name="Shape 9"/>
                        <wps:spPr>
                          <a:xfrm>
                            <a:off x="2659175" y="1876600"/>
                            <a:ext cx="1227300" cy="8313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F1C232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Les grandes laveries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0" name="Shape 10"/>
                        <wps:spPr>
                          <a:xfrm>
                            <a:off x="331200" y="311700"/>
                            <a:ext cx="2367000" cy="110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4"/>
                                  <w:vertAlign w:val="baseline"/>
                                </w:rPr>
                                <w:t xml:space="preserve">Par rapport à nous, s’adresse aussi aux touristes et aux voyageurs professionnels et aux nouveaux entrants sur le travail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CnPr/>
                        <wps:spPr>
                          <a:xfrm>
                            <a:off x="1514700" y="1419900"/>
                            <a:ext cx="1144500" cy="8724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12" name="Shape 12"/>
                        <wps:spPr>
                          <a:xfrm>
                            <a:off x="6376650" y="1142600"/>
                            <a:ext cx="1688700" cy="831300"/>
                          </a:xfrm>
                          <a:prstGeom prst="roundRect">
                            <a:avLst>
                              <a:gd fmla="val 16667" name="adj"/>
                            </a:avLst>
                          </a:prstGeom>
                          <a:solidFill>
                            <a:srgbClr val="F1C232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Les fabricants / marques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d'électroménager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3" name="Shape 13"/>
                        <wps:spPr>
                          <a:xfrm>
                            <a:off x="3039075" y="2608550"/>
                            <a:ext cx="1451400" cy="61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1c232"/>
                                  <w:sz w:val="28"/>
                                  <w:vertAlign w:val="baseline"/>
                                </w:rPr>
                                <w:t xml:space="preserve">Entrants Potentiels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14" name="Shape 14"/>
                        <wps:spPr>
                          <a:xfrm>
                            <a:off x="5870150" y="1911800"/>
                            <a:ext cx="1451400" cy="61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f1c232"/>
                                  <w:sz w:val="28"/>
                                  <w:vertAlign w:val="baseline"/>
                                </w:rPr>
                                <w:t xml:space="preserve">Entrants Potentiels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6645600" cy="4293113"/>
                <wp:effectExtent b="0" l="0" r="0" t="0"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5600" cy="4293113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0" w:line="288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0" w:line="288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0" w:line="288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0" w:line="288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0" w:line="288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0" w:line="288" w:lineRule="auto"/>
        <w:ind w:left="720" w:right="0" w:hanging="36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Rédigez un paragraphe qui résume la stratégie que vous avez choisie pour votre entreprise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Vous pouvez rechercher des documents et informations complémentaires pour affiner votre réflexion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Stratégie choisie 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concentration (front étroit + coûts peu élevé) + proposition de notre entreprise innovante (1ère à proposer un tel service + produit)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Nous souhaitons nous concentrer sur une cible spécifique, puisque nos machines à laver louables s’adressent à des étudiants vivant sur un campus. Nous aurons des avantages liés au coût (notre cible étant dans la catégorie socio-professionnelle “autres personne sans activité professionnelle” nous devons limiter le coût de location de nos machines à laver). Nous aurons également un avantage stratégique lié à la différenciation car c’est une solution innovante qui est la première à proposer ce service. L’invention et les plans de nos produits seront faits par nos ingénieurs (intégration horizontale) et produits par des fournisseurs (externalisation).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0" w:line="288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88" w:lineRule="auto"/>
        <w:jc w:val="left"/>
        <w:rPr>
          <w:rFonts w:ascii="Cambria" w:cs="Cambria" w:eastAsia="Cambria" w:hAnsi="Cambria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Traduisez ces choix stratégiques en business model de façon détaillée en complétant le tableau Business Model Canvas (BMC)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2" w:before="0" w:line="288" w:lineRule="auto"/>
        <w:ind w:left="720" w:right="0" w:firstLine="0"/>
        <w:jc w:val="left"/>
        <w:rPr>
          <w:rFonts w:ascii="Times New Roman" w:cs="Times New Roman" w:eastAsia="Times New Roman" w:hAnsi="Times New Roman"/>
          <w:b w:val="1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38" w:w="11906" w:orient="portrait"/>
          <w:pgMar w:bottom="720" w:top="720" w:left="720" w:right="720" w:header="284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0" w:right="0" w:firstLine="0"/>
        <w:jc w:val="left"/>
        <w:rPr>
          <w:rFonts w:ascii="Cambria" w:cs="Cambria" w:eastAsia="Cambria" w:hAnsi="Cambria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Traduisez ces choix stratégiques en business model de façon détaillée en complétant le tableau Business Model Canvas (BMC)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right="-944" w:firstLine="0"/>
        <w:jc w:val="left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546.0" w:type="dxa"/>
        <w:jc w:val="left"/>
        <w:tblInd w:w="108.0" w:type="pct"/>
        <w:tblBorders>
          <w:top w:color="f2f2f2" w:space="0" w:sz="4" w:val="single"/>
          <w:left w:color="f2f2f2" w:space="0" w:sz="4" w:val="single"/>
          <w:bottom w:color="f2f2f2" w:space="0" w:sz="4" w:val="single"/>
          <w:right w:color="f2f2f2" w:space="0" w:sz="4" w:val="single"/>
          <w:insideH w:color="f2f2f2" w:space="0" w:sz="4" w:val="single"/>
          <w:insideV w:color="f2f2f2" w:space="0" w:sz="4" w:val="single"/>
        </w:tblBorders>
        <w:tblLayout w:type="fixed"/>
        <w:tblLook w:val="0400"/>
      </w:tblPr>
      <w:tblGrid>
        <w:gridCol w:w="3119"/>
        <w:gridCol w:w="3071"/>
        <w:gridCol w:w="47"/>
        <w:gridCol w:w="1499"/>
        <w:gridCol w:w="1185"/>
        <w:gridCol w:w="406"/>
        <w:gridCol w:w="6"/>
        <w:gridCol w:w="2706"/>
        <w:gridCol w:w="397"/>
        <w:gridCol w:w="1856"/>
        <w:gridCol w:w="418"/>
        <w:gridCol w:w="836"/>
        <w:tblGridChange w:id="0">
          <w:tblGrid>
            <w:gridCol w:w="3119"/>
            <w:gridCol w:w="3071"/>
            <w:gridCol w:w="47"/>
            <w:gridCol w:w="1499"/>
            <w:gridCol w:w="1185"/>
            <w:gridCol w:w="406"/>
            <w:gridCol w:w="6"/>
            <w:gridCol w:w="2706"/>
            <w:gridCol w:w="397"/>
            <w:gridCol w:w="1856"/>
            <w:gridCol w:w="418"/>
            <w:gridCol w:w="836"/>
          </w:tblGrid>
        </w:tblGridChange>
      </w:tblGrid>
      <w:tr>
        <w:trPr>
          <w:cantSplit w:val="0"/>
          <w:trHeight w:val="415" w:hRule="atLeast"/>
          <w:tblHeader w:val="0"/>
        </w:trPr>
        <w:tc>
          <w:tcPr>
            <w:gridSpan w:val="2"/>
            <w:shd w:fill="f3f3f3" w:val="clear"/>
            <w:vAlign w:val="center"/>
          </w:tcPr>
          <w:p w:rsidR="00000000" w:rsidDel="00000000" w:rsidP="00000000" w:rsidRDefault="00000000" w:rsidRPr="00000000" w14:paraId="00000020">
            <w:pPr>
              <w:ind w:right="-944"/>
              <w:jc w:val="left"/>
              <w:rPr>
                <w:rFonts w:ascii="Arial" w:cs="Arial" w:eastAsia="Arial" w:hAnsi="Arial"/>
                <w:sz w:val="36"/>
                <w:szCs w:val="3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36"/>
                <w:szCs w:val="36"/>
                <w:rtl w:val="0"/>
              </w:rPr>
              <w:t xml:space="preserve">Business Model Canvas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f2f2f2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22">
            <w:pPr>
              <w:ind w:right="-94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f2f2f2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25">
            <w:pPr>
              <w:ind w:right="-94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2f2f2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27">
            <w:pPr>
              <w:ind w:right="-94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2f2f2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28">
            <w:pPr>
              <w:ind w:right="-94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2f2f2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29">
            <w:pPr>
              <w:ind w:right="-94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2f2f2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2A">
            <w:pPr>
              <w:ind w:right="-94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2f2f2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2B">
            <w:pPr>
              <w:ind w:right="-94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tcBorders>
              <w:bottom w:color="f2f2f2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2C">
            <w:pPr>
              <w:ind w:right="-94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2f2f2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2D">
            <w:pPr>
              <w:ind w:right="-94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bottom w:color="f2f2f2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2E">
            <w:pPr>
              <w:ind w:right="-94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f2f2f2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33">
            <w:pPr>
              <w:ind w:right="-94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f2f2f2" w:space="0" w:sz="4" w:val="single"/>
            </w:tcBorders>
            <w:shd w:fill="f3f3f3" w:val="clear"/>
            <w:vAlign w:val="center"/>
          </w:tcPr>
          <w:p w:rsidR="00000000" w:rsidDel="00000000" w:rsidP="00000000" w:rsidRDefault="00000000" w:rsidRPr="00000000" w14:paraId="00000035">
            <w:pPr>
              <w:ind w:right="-944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tcBorders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38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Key Partners</w:t>
            </w:r>
          </w:p>
        </w:tc>
        <w:tc>
          <w:tcPr>
            <w:gridSpan w:val="2"/>
            <w:tcBorders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39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Key Activities</w:t>
            </w:r>
          </w:p>
        </w:tc>
        <w:tc>
          <w:tcPr>
            <w:gridSpan w:val="3"/>
            <w:tcBorders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3B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Value Propositions</w:t>
            </w:r>
          </w:p>
        </w:tc>
        <w:tc>
          <w:tcPr>
            <w:gridSpan w:val="3"/>
            <w:tcBorders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3E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Customer Relationships</w:t>
            </w:r>
          </w:p>
        </w:tc>
        <w:tc>
          <w:tcPr>
            <w:gridSpan w:val="3"/>
            <w:tcBorders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41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Customer Segments</w:t>
            </w:r>
          </w:p>
        </w:tc>
      </w:tr>
      <w:tr>
        <w:trPr>
          <w:cantSplit w:val="0"/>
          <w:trHeight w:val="2677" w:hRule="atLeast"/>
          <w:tblHeader w:val="0"/>
        </w:trPr>
        <w:tc>
          <w:tcPr>
            <w:vMerge w:val="restart"/>
            <w:tcBorders>
              <w:top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44">
            <w:pPr>
              <w:jc w:val="left"/>
              <w:rPr>
                <w:rFonts w:ascii="Arial" w:cs="Arial" w:eastAsia="Arial" w:hAnsi="Arial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Fournisseurs (fabricant) de machines à laver portables à qui on donne nos plans</w:t>
            </w:r>
          </w:p>
          <w:p w:rsidR="00000000" w:rsidDel="00000000" w:rsidP="00000000" w:rsidRDefault="00000000" w:rsidRPr="00000000" w14:paraId="00000046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→ nous apportent les machines</w:t>
                </w:r>
              </w:sdtContent>
            </w:sdt>
          </w:p>
          <w:p w:rsidR="00000000" w:rsidDel="00000000" w:rsidP="00000000" w:rsidRDefault="00000000" w:rsidRPr="00000000" w14:paraId="00000047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→ nous leur apportons de la richesse et de la visibilité (futurs acheteurs de la marque du fournisseur)</w:t>
                </w:r>
              </w:sdtContent>
            </w:sdt>
          </w:p>
          <w:p w:rsidR="00000000" w:rsidDel="00000000" w:rsidP="00000000" w:rsidRDefault="00000000" w:rsidRPr="00000000" w14:paraId="00000048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Etat/Campus/École </w:t>
            </w:r>
          </w:p>
          <w:p w:rsidR="00000000" w:rsidDel="00000000" w:rsidP="00000000" w:rsidRDefault="00000000" w:rsidRPr="00000000" w14:paraId="0000004A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→ nous apportent l’autorisation de mettre en place notre projet</w:t>
                </w:r>
              </w:sdtContent>
            </w:sdt>
          </w:p>
          <w:p w:rsidR="00000000" w:rsidDel="00000000" w:rsidP="00000000" w:rsidRDefault="00000000" w:rsidRPr="00000000" w14:paraId="0000004B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→ nous leur apportons le bien-être des étudiants</w:t>
                </w:r>
              </w:sdtContent>
            </w:sdt>
          </w:p>
          <w:p w:rsidR="00000000" w:rsidDel="00000000" w:rsidP="00000000" w:rsidRDefault="00000000" w:rsidRPr="00000000" w14:paraId="0000004C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Informaticiens/ développeurs qui fabriquent le site web pour louer les machines</w:t>
            </w:r>
          </w:p>
          <w:p w:rsidR="00000000" w:rsidDel="00000000" w:rsidP="00000000" w:rsidRDefault="00000000" w:rsidRPr="00000000" w14:paraId="0000004E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→ nous apportent le site</w:t>
                </w:r>
              </w:sdtContent>
            </w:sdt>
          </w:p>
          <w:p w:rsidR="00000000" w:rsidDel="00000000" w:rsidP="00000000" w:rsidRDefault="00000000" w:rsidRPr="00000000" w14:paraId="0000004F">
            <w:pPr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→ nous leur apportons de la richesse et de la visibilité</w:t>
                </w:r>
              </w:sdtContent>
            </w:sdt>
          </w:p>
        </w:tc>
        <w:tc>
          <w:tcPr>
            <w:gridSpan w:val="2"/>
            <w:tcBorders>
              <w:top w:color="000000" w:space="0" w:sz="0" w:val="nil"/>
              <w:bottom w:color="f2f2f2" w:space="0" w:sz="4" w:val="single"/>
            </w:tcBorders>
            <w:shd w:fill="ffffff" w:val="clear"/>
          </w:tcPr>
          <w:p w:rsidR="00000000" w:rsidDel="00000000" w:rsidP="00000000" w:rsidRDefault="00000000" w:rsidRPr="00000000" w14:paraId="00000050">
            <w:pPr>
              <w:jc w:val="left"/>
              <w:rPr>
                <w:rFonts w:ascii="Arial" w:cs="Arial" w:eastAsia="Arial" w:hAnsi="Arial"/>
                <w:color w:val="80808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Location de machines à laver.</w:t>
            </w:r>
          </w:p>
          <w:p w:rsidR="00000000" w:rsidDel="00000000" w:rsidP="00000000" w:rsidRDefault="00000000" w:rsidRPr="00000000" w14:paraId="00000052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Contact entre clients et techniciens.</w:t>
            </w:r>
          </w:p>
          <w:p w:rsidR="00000000" w:rsidDel="00000000" w:rsidP="00000000" w:rsidRDefault="00000000" w:rsidRPr="00000000" w14:paraId="00000053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tcBorders>
              <w:top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56">
            <w:pPr>
              <w:jc w:val="left"/>
              <w:rPr>
                <w:rFonts w:ascii="Arial" w:cs="Arial" w:eastAsia="Arial" w:hAnsi="Arial"/>
                <w:color w:val="80808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Mettre à disposition des machines à laver rapides et efficaces sans avoir à faire la queue.</w:t>
            </w:r>
          </w:p>
        </w:tc>
        <w:tc>
          <w:tcPr>
            <w:gridSpan w:val="2"/>
            <w:tcBorders>
              <w:top w:color="000000" w:space="0" w:sz="0" w:val="nil"/>
              <w:bottom w:color="f2f2f2" w:space="0" w:sz="4" w:val="single"/>
            </w:tcBorders>
            <w:shd w:fill="ffffff" w:val="clear"/>
          </w:tcPr>
          <w:p w:rsidR="00000000" w:rsidDel="00000000" w:rsidP="00000000" w:rsidRDefault="00000000" w:rsidRPr="00000000" w14:paraId="0000005B">
            <w:pPr>
              <w:ind w:right="-10"/>
              <w:jc w:val="left"/>
              <w:rPr>
                <w:rFonts w:ascii="Arial" w:cs="Arial" w:eastAsia="Arial" w:hAnsi="Arial"/>
                <w:color w:val="80808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ind w:right="-1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Machines peu chères, efficaces, rapides, faciles d’utilisation et pratiques</w:t>
            </w:r>
          </w:p>
          <w:p w:rsidR="00000000" w:rsidDel="00000000" w:rsidP="00000000" w:rsidRDefault="00000000" w:rsidRPr="00000000" w14:paraId="0000005D">
            <w:pPr>
              <w:ind w:right="-1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Transmettre une image de start up innovante respectueuse de l’environnement</w:t>
            </w:r>
          </w:p>
          <w:p w:rsidR="00000000" w:rsidDel="00000000" w:rsidP="00000000" w:rsidRDefault="00000000" w:rsidRPr="00000000" w14:paraId="0000005E">
            <w:pPr>
              <w:ind w:right="-1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Relation avec le client à travers application/site web.</w:t>
            </w:r>
          </w:p>
        </w:tc>
        <w:tc>
          <w:tcPr>
            <w:gridSpan w:val="3"/>
            <w:vMerge w:val="restart"/>
            <w:tcBorders>
              <w:top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60">
            <w:pPr>
              <w:ind w:right="-18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Étudiants vivant sur un campus.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4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63">
            <w:pPr>
              <w:widowControl w:val="0"/>
              <w:spacing w:line="276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2f2f2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64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Key Resources</w:t>
            </w:r>
          </w:p>
        </w:tc>
        <w:tc>
          <w:tcPr>
            <w:gridSpan w:val="4"/>
            <w:vMerge w:val="continue"/>
            <w:tcBorders>
              <w:top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2f2f2" w:space="0" w:sz="4" w:val="single"/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6A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Channels</w:t>
            </w:r>
          </w:p>
        </w:tc>
        <w:tc>
          <w:tcPr>
            <w:gridSpan w:val="3"/>
            <w:vMerge w:val="continue"/>
            <w:tcBorders>
              <w:top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6C">
            <w:pPr>
              <w:widowControl w:val="0"/>
              <w:spacing w:line="276" w:lineRule="auto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22" w:hRule="atLeast"/>
          <w:tblHeader w:val="0"/>
        </w:trPr>
        <w:tc>
          <w:tcPr>
            <w:vMerge w:val="continue"/>
            <w:tcBorders>
              <w:top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f2f2f2" w:space="0" w:sz="4" w:val="single"/>
            </w:tcBorders>
            <w:shd w:fill="ffffff" w:val="clear"/>
          </w:tcPr>
          <w:p w:rsidR="00000000" w:rsidDel="00000000" w:rsidP="00000000" w:rsidRDefault="00000000" w:rsidRPr="00000000" w14:paraId="00000070">
            <w:pPr>
              <w:jc w:val="left"/>
              <w:rPr>
                <w:rFonts w:ascii="Arial" w:cs="Arial" w:eastAsia="Arial" w:hAnsi="Arial"/>
                <w:color w:val="80808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Capital dont on dispose et investissement de départ pour la conception, l’achat des machines fabriquées, et l'installation des bornes</w:t>
            </w:r>
          </w:p>
        </w:tc>
        <w:tc>
          <w:tcPr>
            <w:gridSpan w:val="4"/>
            <w:vMerge w:val="continue"/>
            <w:tcBorders>
              <w:top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jc w:val="left"/>
              <w:rPr>
                <w:rFonts w:ascii="Arial" w:cs="Arial" w:eastAsia="Arial" w:hAnsi="Arial"/>
                <w:color w:val="80808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bottom w:color="f2f2f2" w:space="0" w:sz="4" w:val="single"/>
            </w:tcBorders>
            <w:shd w:fill="ffffff" w:val="clear"/>
          </w:tcPr>
          <w:p w:rsidR="00000000" w:rsidDel="00000000" w:rsidP="00000000" w:rsidRDefault="00000000" w:rsidRPr="00000000" w14:paraId="00000077">
            <w:pPr>
              <w:ind w:right="-10"/>
              <w:jc w:val="left"/>
              <w:rPr>
                <w:rFonts w:ascii="Arial" w:cs="Arial" w:eastAsia="Arial" w:hAnsi="Arial"/>
                <w:color w:val="80808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ind w:right="-1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Bornes, plateformes de location</w:t>
            </w:r>
          </w:p>
          <w:p w:rsidR="00000000" w:rsidDel="00000000" w:rsidP="00000000" w:rsidRDefault="00000000" w:rsidRPr="00000000" w14:paraId="00000079">
            <w:pPr>
              <w:ind w:right="-1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Site web</w:t>
            </w:r>
          </w:p>
          <w:p w:rsidR="00000000" w:rsidDel="00000000" w:rsidP="00000000" w:rsidRDefault="00000000" w:rsidRPr="00000000" w14:paraId="0000007A">
            <w:pPr>
              <w:ind w:right="-10"/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Numéro téléphone pour le support technique</w:t>
            </w:r>
          </w:p>
        </w:tc>
        <w:tc>
          <w:tcPr>
            <w:gridSpan w:val="3"/>
            <w:vMerge w:val="continue"/>
            <w:tcBorders>
              <w:top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jc w:val="left"/>
              <w:rPr>
                <w:rFonts w:ascii="Arial" w:cs="Arial" w:eastAsia="Arial" w:hAnsi="Arial"/>
                <w:color w:val="80808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4"/>
            <w:tcBorders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7F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Cost Structure</w:t>
            </w:r>
          </w:p>
          <w:p w:rsidR="00000000" w:rsidDel="00000000" w:rsidP="00000000" w:rsidRDefault="00000000" w:rsidRPr="00000000" w14:paraId="00000085">
            <w:pPr>
              <w:ind w:right="-944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Coûts les plus importants à envisager : installation des plateformes de location</w:t>
            </w:r>
          </w:p>
          <w:p w:rsidR="00000000" w:rsidDel="00000000" w:rsidP="00000000" w:rsidRDefault="00000000" w:rsidRPr="00000000" w14:paraId="00000086">
            <w:pPr>
              <w:ind w:right="-944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fabricants de machines à laver qui fabriquent notre produit</w:t>
            </w:r>
          </w:p>
          <w:p w:rsidR="00000000" w:rsidDel="00000000" w:rsidP="00000000" w:rsidRDefault="00000000" w:rsidRPr="00000000" w14:paraId="00000087">
            <w:pPr>
              <w:ind w:right="-944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Développeurs de l’application à payer</w:t>
            </w:r>
          </w:p>
          <w:p w:rsidR="00000000" w:rsidDel="00000000" w:rsidP="00000000" w:rsidRDefault="00000000" w:rsidRPr="00000000" w14:paraId="00000088">
            <w:pPr>
              <w:ind w:right="-944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Assistance technique d’aide et de réparation des machines (embauchés par             notre entreprise)</w:t>
            </w:r>
          </w:p>
        </w:tc>
        <w:tc>
          <w:tcPr>
            <w:gridSpan w:val="8"/>
            <w:tcBorders>
              <w:bottom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8C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ind w:right="-944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Revenue Streams</w:t>
            </w:r>
          </w:p>
          <w:p w:rsidR="00000000" w:rsidDel="00000000" w:rsidP="00000000" w:rsidRDefault="00000000" w:rsidRPr="00000000" w14:paraId="00000092">
            <w:pPr>
              <w:ind w:right="-944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chaque flux contribue peu au revenu total puisqu'il sera basé sur de très</w:t>
            </w:r>
          </w:p>
          <w:p w:rsidR="00000000" w:rsidDel="00000000" w:rsidP="00000000" w:rsidRDefault="00000000" w:rsidRPr="00000000" w14:paraId="00000093">
            <w:pPr>
              <w:ind w:right="-944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nombreuses locations sur un temps assez court</w:t>
            </w:r>
          </w:p>
          <w:p w:rsidR="00000000" w:rsidDel="00000000" w:rsidP="00000000" w:rsidRDefault="00000000" w:rsidRPr="00000000" w14:paraId="00000094">
            <w:pPr>
              <w:ind w:right="-944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nos clients sont prêts à payer pour ne pas avoir à attendre une machine libre,</w:t>
            </w:r>
          </w:p>
          <w:p w:rsidR="00000000" w:rsidDel="00000000" w:rsidP="00000000" w:rsidRDefault="00000000" w:rsidRPr="00000000" w14:paraId="00000095">
            <w:pPr>
              <w:ind w:right="-944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mais n’attendent pas une qualité exceptionnelle</w:t>
            </w:r>
          </w:p>
          <w:p w:rsidR="00000000" w:rsidDel="00000000" w:rsidP="00000000" w:rsidRDefault="00000000" w:rsidRPr="00000000" w14:paraId="00000096">
            <w:pPr>
              <w:ind w:right="-944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7" w:hRule="atLeast"/>
          <w:tblHeader w:val="0"/>
        </w:trPr>
        <w:tc>
          <w:tcPr>
            <w:gridSpan w:val="4"/>
            <w:tcBorders>
              <w:top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9E">
            <w:pPr>
              <w:ind w:right="-32"/>
              <w:jc w:val="left"/>
              <w:rPr>
                <w:rFonts w:ascii="Arial" w:cs="Arial" w:eastAsia="Arial" w:hAnsi="Arial"/>
                <w:color w:val="80808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0" w:val="nil"/>
            </w:tcBorders>
            <w:shd w:fill="ffffff" w:val="clear"/>
          </w:tcPr>
          <w:p w:rsidR="00000000" w:rsidDel="00000000" w:rsidP="00000000" w:rsidRDefault="00000000" w:rsidRPr="00000000" w14:paraId="000000A2">
            <w:pPr>
              <w:ind w:right="-18"/>
              <w:jc w:val="left"/>
              <w:rPr>
                <w:rFonts w:ascii="Arial" w:cs="Arial" w:eastAsia="Arial" w:hAnsi="Arial"/>
                <w:color w:val="80808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1906" w:w="16838" w:orient="landscape"/>
      <w:pgMar w:bottom="720" w:top="720" w:left="720" w:right="720" w:header="284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ambria"/>
  <w:font w:name="Arial Unicode MS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INSA-Lyon – Connaissance de l’entreprise 2021-22</w:t>
      <w:tab/>
      <w:tab/>
      <w:t xml:space="preserve">Page </w:t>
    </w: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sur </w:t>
    </w:r>
    <w:r w:rsidDel="00000000" w:rsidR="00000000" w:rsidRPr="00000000">
      <w:rPr>
        <w:rFonts w:ascii="Tahoma" w:cs="Tahoma" w:eastAsia="Tahoma" w:hAnsi="Tahoma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2306320" cy="502920"/>
          <wp:effectExtent b="0" l="0" r="0" t="0"/>
          <wp:docPr descr="Logo_INSALyon-quadri copie.png" id="7" name="image1.png"/>
          <a:graphic>
            <a:graphicData uri="http://schemas.openxmlformats.org/drawingml/2006/picture">
              <pic:pic>
                <pic:nvPicPr>
                  <pic:cNvPr descr="Logo_INSALyon-quadri copie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06320" cy="50292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right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both"/>
      <w:rPr>
        <w:rFonts w:ascii="Tahoma" w:cs="Tahoma" w:eastAsia="Tahoma" w:hAnsi="Tahom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4"/>
        <w:szCs w:val="24"/>
        <w:lang w:val="fr-F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60" w:before="60" w:lineRule="auto"/>
      <w:jc w:val="center"/>
    </w:pPr>
    <w:rPr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1412B"/>
    <w:pPr>
      <w:spacing w:after="0" w:line="240" w:lineRule="auto"/>
      <w:jc w:val="both"/>
    </w:pPr>
    <w:rPr>
      <w:rFonts w:ascii="Tahoma" w:cs="Times New Roman" w:hAnsi="Tahoma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 w:val="1"/>
    <w:rsid w:val="00E1412B"/>
    <w:pPr>
      <w:spacing w:after="60" w:before="60"/>
      <w:jc w:val="center"/>
      <w:outlineLvl w:val="0"/>
    </w:pPr>
    <w:rPr>
      <w:rFonts w:cs="Tahoma"/>
      <w:b w:val="1"/>
      <w:bCs w:val="1"/>
      <w:sz w:val="32"/>
      <w:szCs w:val="24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rsid w:val="00E1412B"/>
    <w:rPr>
      <w:rFonts w:ascii="Tahoma" w:cs="Tahoma" w:hAnsi="Tahoma"/>
      <w:b w:val="1"/>
      <w:bCs w:val="1"/>
      <w:sz w:val="32"/>
      <w:szCs w:val="24"/>
      <w:lang w:eastAsia="fr-FR"/>
    </w:rPr>
  </w:style>
  <w:style w:type="paragraph" w:styleId="Paragraphedeliste">
    <w:name w:val="List Paragraph"/>
    <w:basedOn w:val="Normal"/>
    <w:uiPriority w:val="34"/>
    <w:qFormat w:val="1"/>
    <w:rsid w:val="00E1412B"/>
    <w:pPr>
      <w:spacing w:after="200" w:line="276" w:lineRule="auto"/>
      <w:ind w:left="720"/>
      <w:contextualSpacing w:val="1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 w:val="1"/>
    <w:rsid w:val="005D55AC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5D55AC"/>
    <w:rPr>
      <w:rFonts w:ascii="Tahoma" w:cs="Times New Roman" w:hAnsi="Tahoma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 w:val="1"/>
    <w:rsid w:val="005D55AC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5D55AC"/>
    <w:rPr>
      <w:rFonts w:ascii="Tahoma" w:cs="Times New Roman" w:hAnsi="Tahoma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5D55AC"/>
    <w:rPr>
      <w:rFonts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5D55AC"/>
    <w:rPr>
      <w:rFonts w:ascii="Tahoma" w:cs="Tahoma" w:hAnsi="Tahoma"/>
      <w:sz w:val="16"/>
      <w:szCs w:val="16"/>
      <w:lang w:eastAsia="fr-FR"/>
    </w:rPr>
  </w:style>
  <w:style w:type="paragraph" w:styleId="western" w:customStyle="1">
    <w:name w:val="western"/>
    <w:basedOn w:val="Normal"/>
    <w:rsid w:val="001F6437"/>
    <w:pPr>
      <w:spacing w:after="142" w:before="100" w:beforeAutospacing="1" w:line="288" w:lineRule="auto"/>
      <w:jc w:val="left"/>
    </w:pPr>
    <w:rPr>
      <w:rFonts w:ascii="Times New Roman" w:hAnsi="Times New Roman"/>
      <w:szCs w:val="24"/>
    </w:rPr>
  </w:style>
  <w:style w:type="paragraph" w:styleId="NormalWeb">
    <w:name w:val="Normal (Web)"/>
    <w:basedOn w:val="Normal"/>
    <w:uiPriority w:val="99"/>
    <w:unhideWhenUsed w:val="1"/>
    <w:rsid w:val="001F6437"/>
    <w:pPr>
      <w:spacing w:after="142" w:before="100" w:beforeAutospacing="1" w:line="288" w:lineRule="auto"/>
      <w:jc w:val="left"/>
    </w:pPr>
    <w:rPr>
      <w:rFonts w:ascii="Times New Roman" w:hAnsi="Times New Roman"/>
      <w:szCs w:val="24"/>
    </w:rPr>
  </w:style>
  <w:style w:type="table" w:styleId="Grilledutableau">
    <w:name w:val="Table Grid"/>
    <w:basedOn w:val="TableauNormal"/>
    <w:uiPriority w:val="59"/>
    <w:rsid w:val="0012591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converted-space" w:customStyle="1">
    <w:name w:val="apple-converted-space"/>
    <w:basedOn w:val="Policepardfaut"/>
    <w:rsid w:val="009F7F54"/>
  </w:style>
  <w:style w:type="character" w:styleId="Accentuation">
    <w:name w:val="Emphasis"/>
    <w:basedOn w:val="Policepardfaut"/>
    <w:uiPriority w:val="20"/>
    <w:qFormat w:val="1"/>
    <w:rsid w:val="009F7F54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13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oP1gKqs7oEYN/B7Vw7Gv8Is4hw==">AMUW2mX4WrPx+Z4jU+E+ZhQwMmFjX47udxHDiuDd7EMgXjW13v5sKlU7mvivk9k1vrBT+PUDwFfG8qBpMDHD8Xjck+iHUhaW8Tu4CKFD0PDx+/StFZsZ9VVF9Mw5yMO2/wpTLvk08cWDosQoYuu8mIU9CTZIMAITd9D1HNKZGvQQ26rQrL15O7lHBl73jDJ8aMkQDZf0sFlHdVSWQd9iCPBsXQN4vavKc6yIyAeckUdZOiIQlwBJzQZHqORMqOyRth5KDepSuthh8qWi8zIGTUviR81xbnpK2GIlh6ioyhGiAfG9WOvGW+Q+lDzsHPKXkq49TyPXKgc/Evq8yRbp+KAoIPsS/tiCrSYB56Hi86/Z9IQMRr4BET3sTRrWYpyVUB5qyLHcz2kIHVsgc2DVB4QsosGlKAxn4A+g+kdKBKSs+qd1IDMlp4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2015-05-20T11:52:00Z</dcterms:created>
  <dc:creator>Bruno GOISSET</dc:creator>
</cp:coreProperties>
</file>