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44" w:rsidRPr="00123C44" w:rsidRDefault="00123C44" w:rsidP="00123C44">
      <w:pPr>
        <w:pStyle w:val="NormalWeb"/>
        <w:jc w:val="both"/>
        <w:rPr>
          <w:rFonts w:asciiTheme="minorHAnsi" w:hAnsiTheme="minorHAnsi"/>
          <w:b/>
          <w:bCs/>
          <w:color w:val="000000"/>
        </w:rPr>
      </w:pPr>
      <w:r w:rsidRPr="00123C44">
        <w:rPr>
          <w:rFonts w:asciiTheme="minorHAnsi" w:hAnsiTheme="minorHAnsi"/>
          <w:b/>
          <w:bCs/>
          <w:color w:val="000000"/>
        </w:rPr>
        <w:t xml:space="preserve">Présentation du Réseau des Centres de Carrière et de Certification des Compétences </w:t>
      </w:r>
    </w:p>
    <w:p w:rsidR="00176BD1" w:rsidRDefault="00176BD1" w:rsidP="00123C44">
      <w:pPr>
        <w:pStyle w:val="NormalWeb"/>
        <w:jc w:val="both"/>
        <w:rPr>
          <w:rFonts w:asciiTheme="minorHAnsi" w:hAnsiTheme="minorHAnsi"/>
          <w:color w:val="000000"/>
        </w:rPr>
      </w:pPr>
      <w:r w:rsidRPr="002C789A">
        <w:rPr>
          <w:rFonts w:asciiTheme="minorHAnsi" w:hAnsiTheme="minorHAnsi"/>
          <w:color w:val="000000"/>
        </w:rPr>
        <w:t>Le</w:t>
      </w:r>
      <w:r>
        <w:rPr>
          <w:rFonts w:asciiTheme="minorHAnsi" w:hAnsiTheme="minorHAnsi"/>
          <w:color w:val="000000"/>
        </w:rPr>
        <w:t xml:space="preserve"> projet national « </w:t>
      </w:r>
      <w:r w:rsidRPr="002C789A">
        <w:rPr>
          <w:rFonts w:asciiTheme="minorHAnsi" w:hAnsiTheme="minorHAnsi"/>
          <w:color w:val="000000"/>
        </w:rPr>
        <w:t>Centres de Carrière et de</w:t>
      </w:r>
      <w:r>
        <w:rPr>
          <w:rFonts w:asciiTheme="minorHAnsi" w:hAnsiTheme="minorHAnsi"/>
          <w:color w:val="000000"/>
        </w:rPr>
        <w:t xml:space="preserve"> Certification des compétences :</w:t>
      </w:r>
      <w:r w:rsidRPr="002C789A">
        <w:rPr>
          <w:rFonts w:asciiTheme="minorHAnsi" w:hAnsiTheme="minorHAnsi"/>
          <w:color w:val="000000"/>
        </w:rPr>
        <w:t xml:space="preserve"> 4C » </w:t>
      </w:r>
      <w:r>
        <w:rPr>
          <w:rFonts w:asciiTheme="minorHAnsi" w:hAnsiTheme="minorHAnsi"/>
          <w:color w:val="000000"/>
        </w:rPr>
        <w:t xml:space="preserve">a pour objectif </w:t>
      </w:r>
      <w:r w:rsidRPr="002C789A">
        <w:rPr>
          <w:rFonts w:asciiTheme="minorHAnsi" w:hAnsiTheme="minorHAnsi"/>
          <w:color w:val="000000"/>
        </w:rPr>
        <w:t>d’améliorer l’employabilité des étudiants à travers des programmes de conseil, d’accompagnement, de formation et d’ouverture sur l’environnement socio-économique.</w:t>
      </w:r>
      <w:r w:rsidRPr="002C789A">
        <w:rPr>
          <w:rStyle w:val="apple-converted-space"/>
          <w:rFonts w:asciiTheme="minorHAnsi" w:hAnsiTheme="minorHAnsi"/>
          <w:color w:val="000000"/>
        </w:rPr>
        <w:t> </w:t>
      </w:r>
      <w:r w:rsidRPr="002C789A">
        <w:rPr>
          <w:rFonts w:asciiTheme="minorHAnsi" w:hAnsiTheme="minorHAnsi"/>
          <w:color w:val="000000"/>
        </w:rPr>
        <w:t>Le centre «4C » est une structure présente dans les établissements universitaires e</w:t>
      </w:r>
      <w:r>
        <w:rPr>
          <w:rFonts w:asciiTheme="minorHAnsi" w:hAnsiTheme="minorHAnsi"/>
          <w:color w:val="000000"/>
        </w:rPr>
        <w:t>t constitue le maillon entre l’U</w:t>
      </w:r>
      <w:r w:rsidRPr="002C789A">
        <w:rPr>
          <w:rFonts w:asciiTheme="minorHAnsi" w:hAnsiTheme="minorHAnsi"/>
          <w:color w:val="000000"/>
        </w:rPr>
        <w:t>niversité et les acteurs socio-économiques. Depuis septembre 2016, le Ministère a procédé à plusieurs actions de développement et de structuration du réseau des centres « 4C » dans tout le pays. Le réseau des centres « 4C » est présent dans tous les gouvernorats du pays</w:t>
      </w:r>
      <w:r>
        <w:rPr>
          <w:rFonts w:asciiTheme="minorHAnsi" w:hAnsiTheme="minorHAnsi"/>
          <w:color w:val="000000"/>
        </w:rPr>
        <w:t xml:space="preserve">. </w:t>
      </w:r>
      <w:r w:rsidRPr="002C789A">
        <w:rPr>
          <w:rFonts w:asciiTheme="minorHAnsi" w:hAnsiTheme="minorHAnsi"/>
          <w:color w:val="000000"/>
        </w:rPr>
        <w:t>Les centres de carrière et de certification des compétences « 4C » offrent des services de :</w:t>
      </w:r>
      <w:r w:rsidRPr="002C789A">
        <w:rPr>
          <w:rStyle w:val="apple-converted-space"/>
          <w:rFonts w:asciiTheme="minorHAnsi" w:hAnsiTheme="minorHAnsi"/>
          <w:color w:val="000000"/>
        </w:rPr>
        <w:t> </w:t>
      </w:r>
    </w:p>
    <w:p w:rsidR="00176BD1" w:rsidRDefault="00176BD1" w:rsidP="00123C44">
      <w:pPr>
        <w:pStyle w:val="NormalWeb"/>
        <w:numPr>
          <w:ilvl w:val="0"/>
          <w:numId w:val="7"/>
        </w:numPr>
        <w:ind w:left="720"/>
        <w:jc w:val="both"/>
        <w:rPr>
          <w:rFonts w:asciiTheme="minorHAnsi" w:hAnsiTheme="minorHAnsi"/>
          <w:color w:val="000000"/>
        </w:rPr>
      </w:pPr>
      <w:r w:rsidRPr="00133807">
        <w:rPr>
          <w:rFonts w:asciiTheme="minorHAnsi" w:hAnsiTheme="minorHAnsi"/>
          <w:color w:val="000000"/>
        </w:rPr>
        <w:t>Information et de conseil et pour les étudiants sur la planification de leur carrière professionnelle, un bilan de compétences interpersonnelles et un coaching one to one</w:t>
      </w:r>
    </w:p>
    <w:p w:rsidR="00176BD1" w:rsidRPr="00133807" w:rsidRDefault="00176BD1" w:rsidP="00123C44">
      <w:pPr>
        <w:pStyle w:val="NormalWeb"/>
        <w:numPr>
          <w:ilvl w:val="0"/>
          <w:numId w:val="7"/>
        </w:numPr>
        <w:ind w:left="720"/>
        <w:jc w:val="both"/>
        <w:rPr>
          <w:rFonts w:asciiTheme="minorHAnsi" w:hAnsiTheme="minorHAnsi"/>
          <w:color w:val="000000"/>
        </w:rPr>
      </w:pPr>
      <w:r w:rsidRPr="00133807">
        <w:rPr>
          <w:rFonts w:asciiTheme="minorHAnsi" w:hAnsiTheme="minorHAnsi"/>
          <w:color w:val="000000"/>
        </w:rPr>
        <w:t>Accompagnement dans la recherche d’emploi et de préparation du dossier de candidature</w:t>
      </w:r>
    </w:p>
    <w:p w:rsidR="00176BD1" w:rsidRPr="00133807" w:rsidRDefault="00176BD1" w:rsidP="00123C44">
      <w:pPr>
        <w:pStyle w:val="NormalWeb"/>
        <w:numPr>
          <w:ilvl w:val="0"/>
          <w:numId w:val="7"/>
        </w:numPr>
        <w:ind w:left="720"/>
        <w:jc w:val="both"/>
        <w:rPr>
          <w:rStyle w:val="apple-converted-space"/>
          <w:rFonts w:asciiTheme="minorHAnsi" w:hAnsiTheme="minorHAnsi"/>
          <w:color w:val="000000"/>
        </w:rPr>
      </w:pPr>
      <w:r w:rsidRPr="00133807">
        <w:rPr>
          <w:rFonts w:asciiTheme="minorHAnsi" w:hAnsiTheme="minorHAnsi"/>
          <w:color w:val="000000"/>
        </w:rPr>
        <w:t>Formation en soft skills (techniques de recherche d’emploi, techniques de communication, prise de parole en public,…) en entrepreneuriat (ateliers de génération d’idées, BMC…)</w:t>
      </w:r>
      <w:r w:rsidRPr="00133807">
        <w:rPr>
          <w:rStyle w:val="apple-converted-space"/>
          <w:rFonts w:asciiTheme="minorHAnsi" w:hAnsiTheme="minorHAnsi"/>
          <w:color w:val="000000"/>
        </w:rPr>
        <w:t> </w:t>
      </w:r>
    </w:p>
    <w:p w:rsidR="00176BD1" w:rsidRPr="00133807" w:rsidRDefault="00176BD1" w:rsidP="00123C44">
      <w:pPr>
        <w:pStyle w:val="NormalWeb"/>
        <w:numPr>
          <w:ilvl w:val="0"/>
          <w:numId w:val="7"/>
        </w:numPr>
        <w:ind w:left="720"/>
        <w:jc w:val="both"/>
        <w:rPr>
          <w:rFonts w:asciiTheme="minorHAnsi" w:hAnsiTheme="minorHAnsi"/>
          <w:color w:val="000000"/>
        </w:rPr>
      </w:pPr>
      <w:r w:rsidRPr="00133807">
        <w:rPr>
          <w:rFonts w:asciiTheme="minorHAnsi" w:hAnsiTheme="minorHAnsi"/>
          <w:color w:val="000000"/>
        </w:rPr>
        <w:t>Formation et certification en technologie de l’information et de la communication (Microsoft, CISCO, IBM,…</w:t>
      </w:r>
      <w:proofErr w:type="gramStart"/>
      <w:r w:rsidRPr="00133807">
        <w:rPr>
          <w:rFonts w:asciiTheme="minorHAnsi" w:hAnsiTheme="minorHAnsi"/>
          <w:color w:val="000000"/>
        </w:rPr>
        <w:t>)en</w:t>
      </w:r>
      <w:proofErr w:type="gramEnd"/>
      <w:r w:rsidRPr="00133807">
        <w:rPr>
          <w:rFonts w:asciiTheme="minorHAnsi" w:hAnsiTheme="minorHAnsi"/>
          <w:color w:val="000000"/>
        </w:rPr>
        <w:t xml:space="preserve"> langues (français, anglais, …), en communication (ECO-C, Dale Carnegie,…) et en compétences managériales (Project Management…)</w:t>
      </w:r>
    </w:p>
    <w:p w:rsidR="00176BD1" w:rsidRPr="00133807" w:rsidRDefault="00176BD1" w:rsidP="00123C44">
      <w:pPr>
        <w:pStyle w:val="NormalWeb"/>
        <w:numPr>
          <w:ilvl w:val="0"/>
          <w:numId w:val="7"/>
        </w:numPr>
        <w:ind w:left="720"/>
        <w:jc w:val="both"/>
        <w:rPr>
          <w:rFonts w:asciiTheme="minorHAnsi" w:hAnsiTheme="minorHAnsi"/>
          <w:color w:val="000000"/>
        </w:rPr>
      </w:pPr>
      <w:r w:rsidRPr="00133807">
        <w:rPr>
          <w:rFonts w:asciiTheme="minorHAnsi" w:hAnsiTheme="minorHAnsi"/>
          <w:color w:val="000000"/>
        </w:rPr>
        <w:t>Organisation des journées carrière, des visites sur site et de rencontres avec les professionnels</w:t>
      </w:r>
      <w:r w:rsidRPr="00133807">
        <w:rPr>
          <w:rStyle w:val="apple-converted-space"/>
          <w:rFonts w:asciiTheme="minorHAnsi" w:hAnsiTheme="minorHAnsi"/>
          <w:color w:val="000000"/>
        </w:rPr>
        <w:t> </w:t>
      </w:r>
    </w:p>
    <w:p w:rsidR="00176BD1" w:rsidRDefault="00176BD1" w:rsidP="00123C44">
      <w:pPr>
        <w:pStyle w:val="NormalWeb"/>
        <w:jc w:val="both"/>
        <w:rPr>
          <w:rFonts w:asciiTheme="minorHAnsi" w:hAnsiTheme="minorHAnsi"/>
          <w:color w:val="000000"/>
        </w:rPr>
      </w:pPr>
      <w:r>
        <w:rPr>
          <w:rFonts w:asciiTheme="minorHAnsi" w:hAnsiTheme="minorHAnsi"/>
          <w:color w:val="000000"/>
        </w:rPr>
        <w:t>En marge des activités du « 4C », plusieurs programmes d’amélioration de l’employabilité ont été déployés au niveau du réseau des centres « 4C » :</w:t>
      </w:r>
    </w:p>
    <w:p w:rsidR="00176BD1" w:rsidRDefault="00176BD1" w:rsidP="00123C44">
      <w:pPr>
        <w:pStyle w:val="NormalWeb"/>
        <w:numPr>
          <w:ilvl w:val="0"/>
          <w:numId w:val="9"/>
        </w:numPr>
        <w:ind w:left="360"/>
        <w:jc w:val="both"/>
        <w:rPr>
          <w:rFonts w:asciiTheme="minorHAnsi" w:hAnsiTheme="minorHAnsi"/>
          <w:color w:val="000000"/>
        </w:rPr>
      </w:pPr>
      <w:r w:rsidRPr="00133807">
        <w:rPr>
          <w:rFonts w:asciiTheme="minorHAnsi" w:hAnsiTheme="minorHAnsi"/>
          <w:b/>
          <w:bCs/>
          <w:color w:val="000000"/>
        </w:rPr>
        <w:t>Programme « Innovation, développement économique et emploi »</w:t>
      </w:r>
      <w:r>
        <w:rPr>
          <w:rFonts w:asciiTheme="minorHAnsi" w:hAnsiTheme="minorHAnsi"/>
          <w:color w:val="000000"/>
        </w:rPr>
        <w:t xml:space="preserve"> financé par la GIZ et déployé, dans sa phase I, au niveau de 10 centres « 4C » dans le secteur textile, mécatronique, agroalimentaire et biotechnologique a pour objectif : le renforcement de capacité de l’équipe « 4C » et des enseignants, l’ancrage des « 4C » dans le milieu socio-économique, aménagement des espaces « 4C ». Dans sa phase II, le programme est déployé dans 10 autres « 4C » dans le secteur de la biotechnologie et a pour objectif : le renforcement de capacité de l’équipe 4C et des enseignants, la révision des modules en biotechnologie en partenariat avec la technopole de Sidi Thabet. Dans sa phase II, le programme a aussi pour objectif de renforcer la capacité de gestion de tout le réseau « 4C » et de promouvoir l’utilisation de la plateforme </w:t>
      </w:r>
      <w:hyperlink r:id="rId5" w:history="1">
        <w:r w:rsidRPr="007D185C">
          <w:rPr>
            <w:rStyle w:val="Lienhypertexte"/>
            <w:rFonts w:asciiTheme="minorHAnsi" w:hAnsiTheme="minorHAnsi"/>
          </w:rPr>
          <w:t>www.4C.tn</w:t>
        </w:r>
      </w:hyperlink>
      <w:r>
        <w:rPr>
          <w:rFonts w:asciiTheme="minorHAnsi" w:hAnsiTheme="minorHAnsi"/>
          <w:color w:val="000000"/>
        </w:rPr>
        <w:t xml:space="preserve"> auprès des étudiants</w:t>
      </w:r>
    </w:p>
    <w:p w:rsidR="00176BD1" w:rsidRDefault="00176BD1" w:rsidP="00123C44">
      <w:pPr>
        <w:pStyle w:val="NormalWeb"/>
        <w:numPr>
          <w:ilvl w:val="0"/>
          <w:numId w:val="9"/>
        </w:numPr>
        <w:ind w:left="360"/>
        <w:jc w:val="both"/>
        <w:rPr>
          <w:rFonts w:asciiTheme="minorHAnsi" w:hAnsiTheme="minorHAnsi"/>
          <w:color w:val="000000"/>
        </w:rPr>
      </w:pPr>
      <w:r w:rsidRPr="00133807">
        <w:rPr>
          <w:rFonts w:asciiTheme="minorHAnsi" w:hAnsiTheme="minorHAnsi"/>
          <w:b/>
          <w:bCs/>
          <w:color w:val="000000"/>
        </w:rPr>
        <w:t>Programme «Promouvoir les talents féminins »</w:t>
      </w:r>
      <w:r>
        <w:rPr>
          <w:rFonts w:asciiTheme="minorHAnsi" w:hAnsiTheme="minorHAnsi"/>
          <w:color w:val="000000"/>
        </w:rPr>
        <w:t xml:space="preserve"> financé par la GIZ et déployé dans 5 « 4C » a pour objectif de soutenir l’équipe 4C dans l’identification, l’accompagnement et la formation des talents féminins élèves ingénieurs en partenariat avec les entreprises. </w:t>
      </w:r>
    </w:p>
    <w:p w:rsidR="00176BD1" w:rsidRDefault="00176BD1" w:rsidP="00123C44">
      <w:pPr>
        <w:pStyle w:val="NormalWeb"/>
        <w:numPr>
          <w:ilvl w:val="0"/>
          <w:numId w:val="9"/>
        </w:numPr>
        <w:ind w:left="360"/>
        <w:jc w:val="both"/>
        <w:rPr>
          <w:rFonts w:asciiTheme="minorHAnsi" w:hAnsiTheme="minorHAnsi"/>
          <w:color w:val="000000"/>
        </w:rPr>
      </w:pPr>
      <w:r w:rsidRPr="00133807">
        <w:rPr>
          <w:rFonts w:asciiTheme="minorHAnsi" w:hAnsiTheme="minorHAnsi"/>
          <w:b/>
          <w:bCs/>
          <w:color w:val="000000"/>
        </w:rPr>
        <w:t>Programme « Tunisie-Bavière : Centre de Carrière »</w:t>
      </w:r>
      <w:r>
        <w:rPr>
          <w:rFonts w:asciiTheme="minorHAnsi" w:hAnsiTheme="minorHAnsi"/>
          <w:color w:val="000000"/>
        </w:rPr>
        <w:t xml:space="preserve"> financé par la chancellerie de l’Etat de la Bavière déployé au niveau de 4 «4C » a pour objectif de renforcer la capacité de l’équipe 4C et de former les enseignants, de consolider les liens avec les entreprises bavaroises, d’assurer des jumelages entre les établissements d’enseignement similaires en Bavière et d’aménager les espaces « 4C »</w:t>
      </w:r>
    </w:p>
    <w:p w:rsidR="00176BD1" w:rsidRDefault="00176BD1" w:rsidP="00123C44">
      <w:pPr>
        <w:pStyle w:val="NormalWeb"/>
        <w:numPr>
          <w:ilvl w:val="0"/>
          <w:numId w:val="9"/>
        </w:numPr>
        <w:ind w:left="360"/>
        <w:jc w:val="both"/>
        <w:rPr>
          <w:rFonts w:asciiTheme="minorHAnsi" w:hAnsiTheme="minorHAnsi"/>
          <w:color w:val="000000"/>
        </w:rPr>
      </w:pPr>
      <w:r w:rsidRPr="00133807">
        <w:rPr>
          <w:rFonts w:asciiTheme="minorHAnsi" w:hAnsiTheme="minorHAnsi"/>
          <w:b/>
          <w:bCs/>
          <w:color w:val="000000"/>
        </w:rPr>
        <w:lastRenderedPageBreak/>
        <w:t>Programme « </w:t>
      </w:r>
      <w:proofErr w:type="spellStart"/>
      <w:r w:rsidRPr="00133807">
        <w:rPr>
          <w:rFonts w:asciiTheme="minorHAnsi" w:hAnsiTheme="minorHAnsi"/>
          <w:b/>
          <w:bCs/>
          <w:color w:val="000000"/>
        </w:rPr>
        <w:t>YouthLead</w:t>
      </w:r>
      <w:proofErr w:type="spellEnd"/>
      <w:r w:rsidRPr="00133807">
        <w:rPr>
          <w:rFonts w:asciiTheme="minorHAnsi" w:hAnsiTheme="minorHAnsi"/>
          <w:b/>
          <w:bCs/>
          <w:color w:val="000000"/>
        </w:rPr>
        <w:t> »</w:t>
      </w:r>
      <w:r>
        <w:rPr>
          <w:rFonts w:asciiTheme="minorHAnsi" w:hAnsiTheme="minorHAnsi"/>
          <w:color w:val="000000"/>
        </w:rPr>
        <w:t xml:space="preserve"> financé par SAPRK a pour objectif la formation des enseignants en entrepreneuriat et en pédagogie entrepreneuriale, l’organisation de boot camp pour les étudiants en entrepreneuriat et l’organisation d’une série de formation en soft skills pour les étudiants </w:t>
      </w:r>
    </w:p>
    <w:p w:rsidR="00176BD1" w:rsidRPr="00123C44" w:rsidRDefault="00176BD1" w:rsidP="00C55106">
      <w:pPr>
        <w:pStyle w:val="NormalWeb"/>
        <w:numPr>
          <w:ilvl w:val="0"/>
          <w:numId w:val="9"/>
        </w:numPr>
        <w:ind w:left="360"/>
        <w:jc w:val="both"/>
        <w:rPr>
          <w:rFonts w:asciiTheme="minorHAnsi" w:hAnsiTheme="minorHAnsi"/>
          <w:color w:val="000000"/>
        </w:rPr>
      </w:pPr>
      <w:r w:rsidRPr="00123C44">
        <w:rPr>
          <w:rFonts w:asciiTheme="minorHAnsi" w:hAnsiTheme="minorHAnsi"/>
          <w:b/>
          <w:bCs/>
          <w:color w:val="000000"/>
        </w:rPr>
        <w:t>Programme « </w:t>
      </w:r>
      <w:proofErr w:type="spellStart"/>
      <w:r w:rsidRPr="00123C44">
        <w:rPr>
          <w:rFonts w:asciiTheme="minorHAnsi" w:hAnsiTheme="minorHAnsi"/>
          <w:b/>
          <w:bCs/>
          <w:color w:val="000000"/>
        </w:rPr>
        <w:t>TunisiaJobs</w:t>
      </w:r>
      <w:proofErr w:type="spellEnd"/>
      <w:r w:rsidRPr="00123C44">
        <w:rPr>
          <w:rFonts w:asciiTheme="minorHAnsi" w:hAnsiTheme="minorHAnsi"/>
          <w:b/>
          <w:bCs/>
          <w:color w:val="000000"/>
        </w:rPr>
        <w:t> »</w:t>
      </w:r>
      <w:r w:rsidRPr="00123C44">
        <w:rPr>
          <w:rFonts w:asciiTheme="minorHAnsi" w:hAnsiTheme="minorHAnsi"/>
          <w:color w:val="000000"/>
        </w:rPr>
        <w:t xml:space="preserve"> financé par l’USAID a pour objectif de soutenir le réseau des « 4C » dans l’organisation des salons d’emploi régionaux, le développement de la plateforme </w:t>
      </w:r>
      <w:hyperlink r:id="rId6" w:history="1">
        <w:r w:rsidRPr="00123C44">
          <w:rPr>
            <w:rStyle w:val="Lienhypertexte"/>
            <w:rFonts w:asciiTheme="minorHAnsi" w:hAnsiTheme="minorHAnsi"/>
          </w:rPr>
          <w:t>www.4C.tn</w:t>
        </w:r>
      </w:hyperlink>
      <w:r w:rsidRPr="00123C44">
        <w:rPr>
          <w:rFonts w:asciiTheme="minorHAnsi" w:hAnsiTheme="minorHAnsi"/>
          <w:color w:val="000000"/>
        </w:rPr>
        <w:t>, la promotion du réseau « 4C » auprès du secteur privé, le renforcement de capacité du réseau « 4C »...</w:t>
      </w:r>
    </w:p>
    <w:p w:rsidR="00176BD1" w:rsidRDefault="00176BD1" w:rsidP="00123C44">
      <w:pPr>
        <w:pStyle w:val="NormalWeb"/>
        <w:jc w:val="both"/>
        <w:rPr>
          <w:rFonts w:asciiTheme="minorHAnsi" w:hAnsiTheme="minorHAnsi"/>
          <w:color w:val="000000"/>
        </w:rPr>
      </w:pPr>
      <w:r w:rsidRPr="00133807">
        <w:rPr>
          <w:rFonts w:asciiTheme="minorHAnsi" w:hAnsiTheme="minorHAnsi"/>
          <w:noProof/>
          <w:color w:val="000000"/>
        </w:rPr>
        <w:drawing>
          <wp:inline distT="0" distB="0" distL="0" distR="0">
            <wp:extent cx="5756910" cy="2552065"/>
            <wp:effectExtent l="0" t="0" r="0" b="635"/>
            <wp:docPr id="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147869_716490302150391_3671665003301175296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2552065"/>
                    </a:xfrm>
                    <a:prstGeom prst="rect">
                      <a:avLst/>
                    </a:prstGeom>
                  </pic:spPr>
                </pic:pic>
              </a:graphicData>
            </a:graphic>
          </wp:inline>
        </w:drawing>
      </w:r>
    </w:p>
    <w:p w:rsidR="00176BD1" w:rsidRPr="00133807" w:rsidRDefault="00176BD1" w:rsidP="00123C44">
      <w:pPr>
        <w:pStyle w:val="NormalWeb"/>
        <w:rPr>
          <w:rFonts w:asciiTheme="minorHAnsi" w:hAnsiTheme="minorHAnsi"/>
          <w:b/>
          <w:color w:val="000000"/>
          <w:sz w:val="28"/>
          <w:szCs w:val="28"/>
        </w:rPr>
      </w:pPr>
      <w:r w:rsidRPr="00133807">
        <w:rPr>
          <w:rFonts w:asciiTheme="minorHAnsi" w:hAnsiTheme="minorHAnsi"/>
          <w:b/>
          <w:color w:val="000000"/>
          <w:sz w:val="28"/>
          <w:szCs w:val="28"/>
        </w:rPr>
        <w:t>Réalisations </w:t>
      </w:r>
    </w:p>
    <w:p w:rsidR="00176BD1" w:rsidRDefault="00176BD1" w:rsidP="00123C44">
      <w:pPr>
        <w:pStyle w:val="NormalWeb"/>
        <w:numPr>
          <w:ilvl w:val="0"/>
          <w:numId w:val="7"/>
        </w:numPr>
        <w:ind w:left="720" w:hanging="357"/>
        <w:jc w:val="both"/>
        <w:rPr>
          <w:rStyle w:val="apple-converted-space"/>
          <w:rFonts w:asciiTheme="minorHAnsi" w:hAnsiTheme="minorHAnsi"/>
          <w:color w:val="000000"/>
        </w:rPr>
      </w:pPr>
      <w:r>
        <w:rPr>
          <w:rFonts w:asciiTheme="minorHAnsi" w:hAnsiTheme="minorHAnsi"/>
          <w:color w:val="000000"/>
        </w:rPr>
        <w:t>Promulgation de l’a</w:t>
      </w:r>
      <w:r w:rsidRPr="002C789A">
        <w:rPr>
          <w:rFonts w:asciiTheme="minorHAnsi" w:hAnsiTheme="minorHAnsi"/>
          <w:color w:val="000000"/>
        </w:rPr>
        <w:t>rrêté</w:t>
      </w:r>
      <w:r>
        <w:rPr>
          <w:rFonts w:asciiTheme="minorHAnsi" w:hAnsiTheme="minorHAnsi"/>
          <w:color w:val="000000"/>
        </w:rPr>
        <w:t xml:space="preserve"> le </w:t>
      </w:r>
      <w:r w:rsidRPr="002C789A">
        <w:rPr>
          <w:rFonts w:asciiTheme="minorHAnsi" w:hAnsiTheme="minorHAnsi"/>
          <w:color w:val="000000"/>
        </w:rPr>
        <w:t>11 octobre 2016, fixant la composition et les attributions des centres « 4C »</w:t>
      </w:r>
    </w:p>
    <w:p w:rsidR="00176BD1" w:rsidRPr="000F2E95" w:rsidRDefault="00176BD1" w:rsidP="00123C44">
      <w:pPr>
        <w:pStyle w:val="NormalWeb"/>
        <w:numPr>
          <w:ilvl w:val="0"/>
          <w:numId w:val="7"/>
        </w:numPr>
        <w:ind w:left="720" w:hanging="357"/>
        <w:jc w:val="both"/>
        <w:rPr>
          <w:rFonts w:asciiTheme="minorHAnsi" w:hAnsiTheme="minorHAnsi"/>
          <w:color w:val="000000"/>
        </w:rPr>
      </w:pPr>
      <w:r>
        <w:rPr>
          <w:rFonts w:asciiTheme="minorHAnsi" w:hAnsiTheme="minorHAnsi"/>
          <w:color w:val="000000"/>
        </w:rPr>
        <w:t>Développement du réseau à 148 centres « 4C » présents dans 70% des établissements universitaires avec une c</w:t>
      </w:r>
      <w:r w:rsidRPr="000F2E95">
        <w:rPr>
          <w:rFonts w:asciiTheme="minorHAnsi" w:hAnsiTheme="minorHAnsi"/>
          <w:color w:val="000000"/>
        </w:rPr>
        <w:t xml:space="preserve">ouverture totale des régions </w:t>
      </w:r>
    </w:p>
    <w:p w:rsidR="00176BD1" w:rsidRDefault="00176BD1" w:rsidP="00123C44">
      <w:pPr>
        <w:pStyle w:val="NormalWeb"/>
        <w:numPr>
          <w:ilvl w:val="0"/>
          <w:numId w:val="7"/>
        </w:numPr>
        <w:ind w:left="720" w:hanging="357"/>
        <w:jc w:val="both"/>
        <w:rPr>
          <w:rFonts w:asciiTheme="minorHAnsi" w:hAnsiTheme="minorHAnsi"/>
          <w:color w:val="000000"/>
        </w:rPr>
      </w:pPr>
      <w:r>
        <w:rPr>
          <w:rFonts w:asciiTheme="minorHAnsi" w:hAnsiTheme="minorHAnsi"/>
          <w:color w:val="000000"/>
        </w:rPr>
        <w:t>400 enseignants-conseillers « 4C » formés en gestion des centres de carrière</w:t>
      </w:r>
    </w:p>
    <w:p w:rsidR="00176BD1" w:rsidRPr="000F2E95" w:rsidRDefault="00176BD1" w:rsidP="00123C44">
      <w:pPr>
        <w:pStyle w:val="NormalWeb"/>
        <w:numPr>
          <w:ilvl w:val="0"/>
          <w:numId w:val="7"/>
        </w:numPr>
        <w:ind w:left="720" w:hanging="357"/>
        <w:jc w:val="both"/>
        <w:rPr>
          <w:rFonts w:asciiTheme="minorHAnsi" w:hAnsiTheme="minorHAnsi"/>
          <w:color w:val="000000"/>
        </w:rPr>
      </w:pPr>
      <w:r>
        <w:rPr>
          <w:rFonts w:asciiTheme="minorHAnsi" w:hAnsiTheme="minorHAnsi"/>
          <w:color w:val="000000"/>
        </w:rPr>
        <w:t>30 partenaires du réseau « 4C »</w:t>
      </w:r>
    </w:p>
    <w:p w:rsidR="00176BD1" w:rsidRDefault="00176BD1" w:rsidP="00123C44">
      <w:pPr>
        <w:pStyle w:val="NormalWeb"/>
        <w:numPr>
          <w:ilvl w:val="0"/>
          <w:numId w:val="7"/>
        </w:numPr>
        <w:ind w:left="720" w:hanging="357"/>
        <w:jc w:val="both"/>
        <w:rPr>
          <w:rFonts w:asciiTheme="minorHAnsi" w:hAnsiTheme="minorHAnsi"/>
          <w:color w:val="000000"/>
        </w:rPr>
      </w:pPr>
      <w:r>
        <w:rPr>
          <w:rFonts w:asciiTheme="minorHAnsi" w:hAnsiTheme="minorHAnsi"/>
          <w:color w:val="000000"/>
        </w:rPr>
        <w:t xml:space="preserve">2500 enseignants et 50000 étudiants ont bénéficié des services de formation et de certification fournis par les centres « 4C » </w:t>
      </w:r>
    </w:p>
    <w:p w:rsidR="00176BD1" w:rsidRPr="00D15579" w:rsidRDefault="00176BD1" w:rsidP="00123C44">
      <w:pPr>
        <w:pStyle w:val="NormalWeb"/>
        <w:numPr>
          <w:ilvl w:val="0"/>
          <w:numId w:val="7"/>
        </w:numPr>
        <w:ind w:left="720" w:hanging="357"/>
        <w:jc w:val="both"/>
        <w:rPr>
          <w:rFonts w:asciiTheme="minorHAnsi" w:hAnsiTheme="minorHAnsi"/>
          <w:color w:val="000000"/>
        </w:rPr>
      </w:pPr>
      <w:r>
        <w:rPr>
          <w:rFonts w:asciiTheme="minorHAnsi" w:hAnsiTheme="minorHAnsi"/>
          <w:color w:val="000000"/>
        </w:rPr>
        <w:t xml:space="preserve">20 000 000 DT sous forme de subventions par les partenaires du réseau « 4C » et </w:t>
      </w:r>
      <w:r w:rsidRPr="00D15579">
        <w:rPr>
          <w:rFonts w:asciiTheme="minorHAnsi" w:hAnsiTheme="minorHAnsi"/>
          <w:color w:val="000000"/>
        </w:rPr>
        <w:t xml:space="preserve">25 000 000 DT sous forme de fonds compétitifs accordés </w:t>
      </w:r>
      <w:r>
        <w:rPr>
          <w:rFonts w:asciiTheme="minorHAnsi" w:hAnsiTheme="minorHAnsi"/>
          <w:color w:val="000000"/>
        </w:rPr>
        <w:t xml:space="preserve">aux « 4C » </w:t>
      </w:r>
      <w:r w:rsidRPr="00D15579">
        <w:rPr>
          <w:rFonts w:asciiTheme="minorHAnsi" w:hAnsiTheme="minorHAnsi"/>
          <w:color w:val="000000"/>
        </w:rPr>
        <w:t xml:space="preserve">à travers le mécanisme de financement PAQ. Un </w:t>
      </w:r>
      <w:r>
        <w:rPr>
          <w:rFonts w:asciiTheme="minorHAnsi" w:hAnsiTheme="minorHAnsi"/>
          <w:color w:val="000000"/>
        </w:rPr>
        <w:t>m</w:t>
      </w:r>
      <w:r w:rsidRPr="00D15579">
        <w:rPr>
          <w:rFonts w:asciiTheme="minorHAnsi" w:hAnsiTheme="minorHAnsi"/>
          <w:color w:val="000000"/>
        </w:rPr>
        <w:t>ontant de 12 050 000 DT a été alloué à 64 centres « 4C »</w:t>
      </w:r>
      <w:r>
        <w:rPr>
          <w:rFonts w:asciiTheme="minorHAnsi" w:hAnsiTheme="minorHAnsi"/>
          <w:color w:val="000000"/>
        </w:rPr>
        <w:t xml:space="preserve"> en 2017 et 2018</w:t>
      </w:r>
      <w:r w:rsidRPr="00D15579">
        <w:rPr>
          <w:rFonts w:asciiTheme="minorHAnsi" w:hAnsiTheme="minorHAnsi"/>
          <w:color w:val="000000"/>
        </w:rPr>
        <w:t>.</w:t>
      </w:r>
      <w:r>
        <w:rPr>
          <w:rFonts w:asciiTheme="minorHAnsi" w:hAnsiTheme="minorHAnsi"/>
          <w:color w:val="000000"/>
        </w:rPr>
        <w:t xml:space="preserve"> Une évaluation des projets soumis est en cours pour l’attribution du reliquat.</w:t>
      </w:r>
      <w:r w:rsidRPr="00D15579">
        <w:rPr>
          <w:rFonts w:asciiTheme="minorHAnsi" w:hAnsiTheme="minorHAnsi"/>
          <w:color w:val="000000"/>
        </w:rPr>
        <w:t xml:space="preserve"> Ces fonds permettront de </w:t>
      </w:r>
    </w:p>
    <w:p w:rsidR="00176BD1" w:rsidRDefault="00176BD1" w:rsidP="00123C44">
      <w:pPr>
        <w:pStyle w:val="NormalWeb"/>
        <w:numPr>
          <w:ilvl w:val="1"/>
          <w:numId w:val="13"/>
        </w:numPr>
        <w:ind w:left="1440" w:hanging="357"/>
        <w:jc w:val="both"/>
        <w:rPr>
          <w:rFonts w:asciiTheme="minorHAnsi" w:hAnsiTheme="minorHAnsi"/>
          <w:color w:val="000000"/>
        </w:rPr>
      </w:pPr>
      <w:r w:rsidRPr="00D15579">
        <w:rPr>
          <w:rFonts w:asciiTheme="minorHAnsi" w:hAnsiTheme="minorHAnsi"/>
          <w:color w:val="000000"/>
        </w:rPr>
        <w:t>Renforce</w:t>
      </w:r>
      <w:r>
        <w:rPr>
          <w:rFonts w:asciiTheme="minorHAnsi" w:hAnsiTheme="minorHAnsi"/>
          <w:color w:val="000000"/>
        </w:rPr>
        <w:t>r la</w:t>
      </w:r>
      <w:r w:rsidRPr="00D15579">
        <w:rPr>
          <w:rFonts w:asciiTheme="minorHAnsi" w:hAnsiTheme="minorHAnsi"/>
          <w:color w:val="000000"/>
        </w:rPr>
        <w:t xml:space="preserve"> capacité</w:t>
      </w:r>
      <w:r>
        <w:rPr>
          <w:rFonts w:asciiTheme="minorHAnsi" w:hAnsiTheme="minorHAnsi"/>
          <w:color w:val="000000"/>
        </w:rPr>
        <w:t xml:space="preserve"> </w:t>
      </w:r>
      <w:r w:rsidRPr="00D15579">
        <w:rPr>
          <w:rFonts w:asciiTheme="minorHAnsi" w:hAnsiTheme="minorHAnsi"/>
          <w:color w:val="000000"/>
        </w:rPr>
        <w:t>des enseignants, staff administratif, étudiants en compétences techniques et soft skills</w:t>
      </w:r>
    </w:p>
    <w:p w:rsidR="00176BD1" w:rsidRPr="00D15579" w:rsidRDefault="00176BD1" w:rsidP="00123C44">
      <w:pPr>
        <w:pStyle w:val="NormalWeb"/>
        <w:numPr>
          <w:ilvl w:val="1"/>
          <w:numId w:val="13"/>
        </w:numPr>
        <w:ind w:left="1440" w:hanging="357"/>
        <w:jc w:val="both"/>
        <w:rPr>
          <w:rFonts w:asciiTheme="minorHAnsi" w:hAnsiTheme="minorHAnsi"/>
          <w:color w:val="000000"/>
        </w:rPr>
      </w:pPr>
      <w:r w:rsidRPr="00D15579">
        <w:rPr>
          <w:rFonts w:asciiTheme="minorHAnsi" w:hAnsiTheme="minorHAnsi"/>
          <w:color w:val="000000"/>
        </w:rPr>
        <w:t>Acqu</w:t>
      </w:r>
      <w:r>
        <w:rPr>
          <w:rFonts w:asciiTheme="minorHAnsi" w:hAnsiTheme="minorHAnsi"/>
          <w:color w:val="000000"/>
        </w:rPr>
        <w:t xml:space="preserve">érir du </w:t>
      </w:r>
      <w:r w:rsidRPr="00D15579">
        <w:rPr>
          <w:rFonts w:asciiTheme="minorHAnsi" w:hAnsiTheme="minorHAnsi"/>
          <w:color w:val="000000"/>
        </w:rPr>
        <w:t xml:space="preserve">matériel pédagogique </w:t>
      </w:r>
    </w:p>
    <w:p w:rsidR="00176BD1" w:rsidRDefault="00176BD1" w:rsidP="00123C44">
      <w:pPr>
        <w:pStyle w:val="NormalWeb"/>
        <w:numPr>
          <w:ilvl w:val="1"/>
          <w:numId w:val="13"/>
        </w:numPr>
        <w:ind w:left="1440" w:hanging="357"/>
        <w:jc w:val="both"/>
        <w:rPr>
          <w:rFonts w:asciiTheme="minorHAnsi" w:hAnsiTheme="minorHAnsi"/>
          <w:color w:val="000000"/>
        </w:rPr>
      </w:pPr>
      <w:r w:rsidRPr="00D15579">
        <w:rPr>
          <w:rFonts w:asciiTheme="minorHAnsi" w:hAnsiTheme="minorHAnsi"/>
          <w:color w:val="000000"/>
        </w:rPr>
        <w:t>Aménage</w:t>
      </w:r>
      <w:r>
        <w:rPr>
          <w:rFonts w:asciiTheme="minorHAnsi" w:hAnsiTheme="minorHAnsi"/>
          <w:color w:val="000000"/>
        </w:rPr>
        <w:t xml:space="preserve">r un </w:t>
      </w:r>
      <w:r w:rsidRPr="00D15579">
        <w:rPr>
          <w:rFonts w:asciiTheme="minorHAnsi" w:hAnsiTheme="minorHAnsi"/>
          <w:color w:val="000000"/>
        </w:rPr>
        <w:t xml:space="preserve">espace 4C ou </w:t>
      </w:r>
      <w:r>
        <w:rPr>
          <w:rFonts w:asciiTheme="minorHAnsi" w:hAnsiTheme="minorHAnsi"/>
          <w:color w:val="000000"/>
        </w:rPr>
        <w:t xml:space="preserve">un </w:t>
      </w:r>
      <w:r w:rsidRPr="00D15579">
        <w:rPr>
          <w:rFonts w:asciiTheme="minorHAnsi" w:hAnsiTheme="minorHAnsi"/>
          <w:color w:val="000000"/>
        </w:rPr>
        <w:t>centre d’examen</w:t>
      </w:r>
    </w:p>
    <w:p w:rsidR="00176BD1" w:rsidRDefault="00176BD1" w:rsidP="00123C44">
      <w:pPr>
        <w:pStyle w:val="NormalWeb"/>
        <w:numPr>
          <w:ilvl w:val="0"/>
          <w:numId w:val="7"/>
        </w:numPr>
        <w:ind w:left="720" w:hanging="357"/>
        <w:jc w:val="both"/>
        <w:rPr>
          <w:rFonts w:asciiTheme="minorHAnsi" w:hAnsiTheme="minorHAnsi"/>
          <w:color w:val="000000"/>
        </w:rPr>
      </w:pPr>
      <w:r w:rsidRPr="00133807">
        <w:rPr>
          <w:rFonts w:asciiTheme="minorHAnsi" w:hAnsiTheme="minorHAnsi"/>
          <w:color w:val="000000"/>
        </w:rPr>
        <w:t>700.000 DT nouvelle dotation budg</w:t>
      </w:r>
      <w:r>
        <w:rPr>
          <w:rFonts w:asciiTheme="minorHAnsi" w:hAnsiTheme="minorHAnsi"/>
          <w:color w:val="000000"/>
        </w:rPr>
        <w:t>étaire annuelle par performance</w:t>
      </w:r>
    </w:p>
    <w:p w:rsidR="00176BD1" w:rsidRPr="00133807" w:rsidRDefault="00176BD1" w:rsidP="00123C44">
      <w:pPr>
        <w:pStyle w:val="NormalWeb"/>
        <w:numPr>
          <w:ilvl w:val="0"/>
          <w:numId w:val="7"/>
        </w:numPr>
        <w:ind w:left="720" w:hanging="357"/>
        <w:jc w:val="both"/>
        <w:rPr>
          <w:rFonts w:asciiTheme="minorHAnsi" w:hAnsiTheme="minorHAnsi"/>
          <w:color w:val="000000"/>
        </w:rPr>
      </w:pPr>
      <w:r w:rsidRPr="00133807">
        <w:rPr>
          <w:rFonts w:asciiTheme="minorHAnsi" w:hAnsiTheme="minorHAnsi"/>
          <w:color w:val="000000"/>
        </w:rPr>
        <w:t>Développement d’une plateforme unique </w:t>
      </w:r>
      <w:hyperlink r:id="rId8" w:history="1">
        <w:r w:rsidRPr="00133807">
          <w:rPr>
            <w:rStyle w:val="Lienhypertexte"/>
            <w:rFonts w:asciiTheme="minorHAnsi" w:hAnsiTheme="minorHAnsi"/>
          </w:rPr>
          <w:t>www.4C.tn</w:t>
        </w:r>
      </w:hyperlink>
      <w:r w:rsidRPr="00133807">
        <w:rPr>
          <w:rFonts w:asciiTheme="minorHAnsi" w:hAnsiTheme="minorHAnsi"/>
          <w:color w:val="000000"/>
        </w:rPr>
        <w:t>ouverte aux étudiants, enseignants, administratifs, entreprises et les responsables 4C:</w:t>
      </w:r>
    </w:p>
    <w:p w:rsidR="00176BD1" w:rsidRDefault="00176BD1" w:rsidP="00123C44">
      <w:pPr>
        <w:pStyle w:val="NormalWeb"/>
        <w:numPr>
          <w:ilvl w:val="1"/>
          <w:numId w:val="14"/>
        </w:numPr>
        <w:ind w:left="1440" w:hanging="357"/>
        <w:jc w:val="both"/>
        <w:rPr>
          <w:rFonts w:asciiTheme="minorHAnsi" w:hAnsiTheme="minorHAnsi"/>
          <w:color w:val="000000"/>
        </w:rPr>
      </w:pPr>
      <w:r>
        <w:rPr>
          <w:rFonts w:asciiTheme="minorHAnsi" w:hAnsiTheme="minorHAnsi"/>
          <w:color w:val="000000"/>
        </w:rPr>
        <w:lastRenderedPageBreak/>
        <w:t>L’information et l’inscription en ligne aux formations, certifications et événements du réseau « 4C »</w:t>
      </w:r>
    </w:p>
    <w:p w:rsidR="00176BD1" w:rsidRDefault="00176BD1" w:rsidP="00123C44">
      <w:pPr>
        <w:pStyle w:val="NormalWeb"/>
        <w:numPr>
          <w:ilvl w:val="1"/>
          <w:numId w:val="14"/>
        </w:numPr>
        <w:ind w:left="1440" w:hanging="357"/>
        <w:jc w:val="both"/>
        <w:rPr>
          <w:rFonts w:asciiTheme="minorHAnsi" w:hAnsiTheme="minorHAnsi"/>
          <w:color w:val="000000"/>
        </w:rPr>
      </w:pPr>
      <w:r>
        <w:rPr>
          <w:rFonts w:asciiTheme="minorHAnsi" w:hAnsiTheme="minorHAnsi"/>
          <w:color w:val="000000"/>
        </w:rPr>
        <w:t>La constitution de CVthèque des étudiants et des diplômés</w:t>
      </w:r>
    </w:p>
    <w:p w:rsidR="00176BD1" w:rsidRDefault="00176BD1" w:rsidP="00123C44">
      <w:pPr>
        <w:pStyle w:val="NormalWeb"/>
        <w:numPr>
          <w:ilvl w:val="1"/>
          <w:numId w:val="14"/>
        </w:numPr>
        <w:ind w:left="1440" w:hanging="357"/>
        <w:jc w:val="both"/>
        <w:rPr>
          <w:rFonts w:asciiTheme="minorHAnsi" w:hAnsiTheme="minorHAnsi"/>
          <w:color w:val="000000"/>
        </w:rPr>
      </w:pPr>
      <w:r>
        <w:rPr>
          <w:rFonts w:asciiTheme="minorHAnsi" w:hAnsiTheme="minorHAnsi"/>
          <w:color w:val="000000"/>
        </w:rPr>
        <w:t>La publication d’offres d’emploi, de stages et de stages PFE par les entreprises</w:t>
      </w:r>
    </w:p>
    <w:p w:rsidR="00176BD1" w:rsidRPr="00133807" w:rsidRDefault="00176BD1" w:rsidP="00123C44">
      <w:pPr>
        <w:pStyle w:val="NormalWeb"/>
        <w:numPr>
          <w:ilvl w:val="1"/>
          <w:numId w:val="14"/>
        </w:numPr>
        <w:ind w:left="1440" w:hanging="357"/>
        <w:jc w:val="both"/>
        <w:rPr>
          <w:rFonts w:asciiTheme="minorHAnsi" w:hAnsiTheme="minorHAnsi"/>
          <w:color w:val="000000"/>
        </w:rPr>
      </w:pPr>
      <w:r w:rsidRPr="00133807">
        <w:rPr>
          <w:rFonts w:asciiTheme="minorHAnsi" w:hAnsiTheme="minorHAnsi"/>
          <w:color w:val="000000"/>
        </w:rPr>
        <w:t xml:space="preserve">Le suivi et le monitoring des activités et des indicateurs de performance des « 4C »  </w:t>
      </w:r>
    </w:p>
    <w:p w:rsidR="00176BD1" w:rsidRDefault="00176BD1" w:rsidP="00123C44">
      <w:pPr>
        <w:pStyle w:val="NormalWeb"/>
        <w:jc w:val="center"/>
        <w:rPr>
          <w:rFonts w:asciiTheme="minorHAnsi" w:hAnsiTheme="minorHAnsi"/>
          <w:color w:val="000000"/>
        </w:rPr>
      </w:pPr>
      <w:r>
        <w:rPr>
          <w:rFonts w:asciiTheme="minorHAnsi" w:hAnsiTheme="minorHAnsi"/>
          <w:noProof/>
          <w:color w:val="000000"/>
        </w:rPr>
        <w:drawing>
          <wp:inline distT="0" distB="0" distL="0" distR="0">
            <wp:extent cx="4493683" cy="3087260"/>
            <wp:effectExtent l="19050" t="0" r="2117" b="0"/>
            <wp:docPr id="8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issance.png"/>
                    <pic:cNvPicPr/>
                  </pic:nvPicPr>
                  <pic:blipFill>
                    <a:blip r:embed="rId9">
                      <a:extLst>
                        <a:ext uri="{28A0092B-C50C-407E-A947-70E740481C1C}">
                          <a14:useLocalDpi xmlns:a14="http://schemas.microsoft.com/office/drawing/2010/main" val="0"/>
                        </a:ext>
                      </a:extLst>
                    </a:blip>
                    <a:srcRect t="8428"/>
                    <a:stretch>
                      <a:fillRect/>
                    </a:stretch>
                  </pic:blipFill>
                  <pic:spPr>
                    <a:xfrm>
                      <a:off x="0" y="0"/>
                      <a:ext cx="4495367" cy="3088417"/>
                    </a:xfrm>
                    <a:prstGeom prst="rect">
                      <a:avLst/>
                    </a:prstGeom>
                  </pic:spPr>
                </pic:pic>
              </a:graphicData>
            </a:graphic>
          </wp:inline>
        </w:drawing>
      </w:r>
    </w:p>
    <w:p w:rsidR="00176BD1" w:rsidRDefault="00176BD1" w:rsidP="00123C44">
      <w:pPr>
        <w:pStyle w:val="NormalWeb"/>
        <w:jc w:val="center"/>
        <w:rPr>
          <w:rFonts w:asciiTheme="minorHAnsi" w:hAnsiTheme="minorHAnsi"/>
          <w:color w:val="000000"/>
        </w:rPr>
      </w:pPr>
      <w:r>
        <w:rPr>
          <w:noProof/>
        </w:rPr>
        <w:drawing>
          <wp:inline distT="0" distB="0" distL="0" distR="0">
            <wp:extent cx="5362575" cy="4021635"/>
            <wp:effectExtent l="0" t="0" r="0" b="0"/>
            <wp:docPr id="8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tenaires.png"/>
                    <pic:cNvPicPr/>
                  </pic:nvPicPr>
                  <pic:blipFill>
                    <a:blip r:embed="rId10">
                      <a:extLst>
                        <a:ext uri="{28A0092B-C50C-407E-A947-70E740481C1C}">
                          <a14:useLocalDpi xmlns:a14="http://schemas.microsoft.com/office/drawing/2010/main" val="0"/>
                        </a:ext>
                      </a:extLst>
                    </a:blip>
                    <a:stretch>
                      <a:fillRect/>
                    </a:stretch>
                  </pic:blipFill>
                  <pic:spPr>
                    <a:xfrm>
                      <a:off x="0" y="0"/>
                      <a:ext cx="5377673" cy="4032958"/>
                    </a:xfrm>
                    <a:prstGeom prst="rect">
                      <a:avLst/>
                    </a:prstGeom>
                  </pic:spPr>
                </pic:pic>
              </a:graphicData>
            </a:graphic>
          </wp:inline>
        </w:drawing>
      </w:r>
    </w:p>
    <w:p w:rsidR="00176BD1" w:rsidRDefault="00176BD1" w:rsidP="00123C44">
      <w:pPr>
        <w:pStyle w:val="NormalWeb"/>
        <w:rPr>
          <w:rFonts w:asciiTheme="minorHAnsi" w:hAnsiTheme="minorHAnsi"/>
          <w:color w:val="000000"/>
        </w:rPr>
      </w:pPr>
    </w:p>
    <w:p w:rsidR="00176BD1" w:rsidRDefault="00176BD1" w:rsidP="00123C44">
      <w:pPr>
        <w:pStyle w:val="NormalWeb"/>
        <w:jc w:val="center"/>
        <w:rPr>
          <w:rFonts w:asciiTheme="minorHAnsi" w:hAnsiTheme="minorHAnsi"/>
          <w:color w:val="000000"/>
        </w:rPr>
      </w:pPr>
      <w:r>
        <w:rPr>
          <w:rFonts w:asciiTheme="minorHAnsi" w:hAnsiTheme="minorHAnsi"/>
          <w:noProof/>
          <w:color w:val="000000"/>
        </w:rPr>
        <w:drawing>
          <wp:inline distT="0" distB="0" distL="0" distR="0">
            <wp:extent cx="4741333" cy="3555738"/>
            <wp:effectExtent l="19050" t="0" r="2117" b="0"/>
            <wp:docPr id="8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ographie.png"/>
                    <pic:cNvPicPr/>
                  </pic:nvPicPr>
                  <pic:blipFill>
                    <a:blip r:embed="rId11">
                      <a:extLst>
                        <a:ext uri="{28A0092B-C50C-407E-A947-70E740481C1C}">
                          <a14:useLocalDpi xmlns:a14="http://schemas.microsoft.com/office/drawing/2010/main" val="0"/>
                        </a:ext>
                      </a:extLst>
                    </a:blip>
                    <a:stretch>
                      <a:fillRect/>
                    </a:stretch>
                  </pic:blipFill>
                  <pic:spPr>
                    <a:xfrm>
                      <a:off x="0" y="0"/>
                      <a:ext cx="4753279" cy="3564697"/>
                    </a:xfrm>
                    <a:prstGeom prst="rect">
                      <a:avLst/>
                    </a:prstGeom>
                  </pic:spPr>
                </pic:pic>
              </a:graphicData>
            </a:graphic>
          </wp:inline>
        </w:drawing>
      </w: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p>
    <w:p w:rsidR="00123C44" w:rsidRDefault="00123C44" w:rsidP="00123C44">
      <w:pPr>
        <w:pStyle w:val="NormalWeb"/>
        <w:jc w:val="center"/>
        <w:rPr>
          <w:rFonts w:asciiTheme="minorHAnsi" w:hAnsiTheme="minorHAnsi"/>
          <w:color w:val="000000"/>
        </w:rPr>
      </w:pPr>
      <w:bookmarkStart w:id="0" w:name="_GoBack"/>
      <w:bookmarkEnd w:id="0"/>
    </w:p>
    <w:sectPr w:rsidR="00123C44" w:rsidSect="00512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230D9"/>
    <w:multiLevelType w:val="hybridMultilevel"/>
    <w:tmpl w:val="507AE13E"/>
    <w:lvl w:ilvl="0" w:tplc="9D74FAAE">
      <w:start w:val="1"/>
      <w:numFmt w:val="bullet"/>
      <w:lvlText w:val=""/>
      <w:lvlJc w:val="left"/>
      <w:pPr>
        <w:ind w:left="1428" w:hanging="360"/>
      </w:pPr>
      <w:rPr>
        <w:rFonts w:ascii="Wingdings" w:hAnsi="Wingdings" w:hint="default"/>
        <w:color w:val="C00000"/>
      </w:rPr>
    </w:lvl>
    <w:lvl w:ilvl="1" w:tplc="9646A438">
      <w:numFmt w:val="bullet"/>
      <w:lvlText w:val="-"/>
      <w:lvlJc w:val="left"/>
      <w:pPr>
        <w:ind w:left="2148" w:hanging="360"/>
      </w:pPr>
      <w:rPr>
        <w:rFonts w:ascii="Calibri" w:eastAsiaTheme="minorHAnsi" w:hAnsi="Calibri"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B3C0B4D"/>
    <w:multiLevelType w:val="multilevel"/>
    <w:tmpl w:val="72B403C0"/>
    <w:lvl w:ilvl="0">
      <w:start w:val="1"/>
      <w:numFmt w:val="upperLetter"/>
      <w:lvlText w:val="%1."/>
      <w:lvlJc w:val="left"/>
      <w:pPr>
        <w:ind w:left="1068" w:hanging="360"/>
      </w:pPr>
      <w:rPr>
        <w:rFonts w:hint="default"/>
        <w:b/>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nsid w:val="1EF553DE"/>
    <w:multiLevelType w:val="hybridMultilevel"/>
    <w:tmpl w:val="7792A96C"/>
    <w:lvl w:ilvl="0" w:tplc="9D74FAAE">
      <w:start w:val="1"/>
      <w:numFmt w:val="bullet"/>
      <w:lvlText w:val=""/>
      <w:lvlJc w:val="left"/>
      <w:pPr>
        <w:ind w:left="1428" w:hanging="360"/>
      </w:pPr>
      <w:rPr>
        <w:rFonts w:ascii="Wingdings" w:hAnsi="Wingdings" w:hint="default"/>
        <w:color w:val="C00000"/>
      </w:rPr>
    </w:lvl>
    <w:lvl w:ilvl="1" w:tplc="9646A438">
      <w:numFmt w:val="bullet"/>
      <w:lvlText w:val="-"/>
      <w:lvlJc w:val="left"/>
      <w:pPr>
        <w:ind w:left="2148" w:hanging="360"/>
      </w:pPr>
      <w:rPr>
        <w:rFonts w:ascii="Calibri" w:eastAsiaTheme="minorHAnsi" w:hAnsi="Calibri"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201A4689"/>
    <w:multiLevelType w:val="multilevel"/>
    <w:tmpl w:val="6BF28BE8"/>
    <w:lvl w:ilvl="0">
      <w:start w:val="1"/>
      <w:numFmt w:val="upperLetter"/>
      <w:lvlText w:val="%1."/>
      <w:lvlJc w:val="left"/>
      <w:pPr>
        <w:ind w:left="1068" w:hanging="360"/>
      </w:pPr>
      <w:rPr>
        <w:rFonts w:hint="default"/>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nsid w:val="288D6EF1"/>
    <w:multiLevelType w:val="hybridMultilevel"/>
    <w:tmpl w:val="A2A2AD9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FB4D74"/>
    <w:multiLevelType w:val="hybridMultilevel"/>
    <w:tmpl w:val="7BB417CE"/>
    <w:lvl w:ilvl="0" w:tplc="C6A8C47E">
      <w:start w:val="120"/>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394957FB"/>
    <w:multiLevelType w:val="hybridMultilevel"/>
    <w:tmpl w:val="ED5435CC"/>
    <w:lvl w:ilvl="0" w:tplc="9D74FAAE">
      <w:start w:val="1"/>
      <w:numFmt w:val="bullet"/>
      <w:lvlText w:val=""/>
      <w:lvlJc w:val="left"/>
      <w:pPr>
        <w:ind w:left="1428" w:hanging="360"/>
      </w:pPr>
      <w:rPr>
        <w:rFonts w:ascii="Wingdings" w:hAnsi="Wingdings" w:hint="default"/>
        <w:color w:val="C00000"/>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3F7A6EDC"/>
    <w:multiLevelType w:val="hybridMultilevel"/>
    <w:tmpl w:val="FB30E3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5D7C28"/>
    <w:multiLevelType w:val="multilevel"/>
    <w:tmpl w:val="1A0449B2"/>
    <w:lvl w:ilvl="0">
      <w:start w:val="5"/>
      <w:numFmt w:val="upperLetter"/>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nsid w:val="44DC5D87"/>
    <w:multiLevelType w:val="hybridMultilevel"/>
    <w:tmpl w:val="93D6F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91B5F1D"/>
    <w:multiLevelType w:val="hybridMultilevel"/>
    <w:tmpl w:val="36F022E0"/>
    <w:lvl w:ilvl="0" w:tplc="6414E7CE">
      <w:start w:val="1"/>
      <w:numFmt w:val="bullet"/>
      <w:pStyle w:val="Liste1"/>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nsid w:val="4CA16FCA"/>
    <w:multiLevelType w:val="hybridMultilevel"/>
    <w:tmpl w:val="FD5E8DE2"/>
    <w:lvl w:ilvl="0" w:tplc="FC68D06C">
      <w:start w:val="1"/>
      <w:numFmt w:val="bullet"/>
      <w:pStyle w:val="Liste"/>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4FB4676C"/>
    <w:multiLevelType w:val="hybridMultilevel"/>
    <w:tmpl w:val="8A58D954"/>
    <w:lvl w:ilvl="0" w:tplc="9646A438">
      <w:numFmt w:val="bullet"/>
      <w:lvlText w:val="-"/>
      <w:lvlJc w:val="left"/>
      <w:pPr>
        <w:ind w:left="1068" w:hanging="360"/>
      </w:pPr>
      <w:rPr>
        <w:rFonts w:ascii="Calibri" w:eastAsiaTheme="minorHAnsi"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55195535"/>
    <w:multiLevelType w:val="hybridMultilevel"/>
    <w:tmpl w:val="3B3CC034"/>
    <w:lvl w:ilvl="0" w:tplc="46209972">
      <w:start w:val="1"/>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704D005D"/>
    <w:multiLevelType w:val="hybridMultilevel"/>
    <w:tmpl w:val="98E886CE"/>
    <w:lvl w:ilvl="0" w:tplc="040C0001">
      <w:start w:val="1"/>
      <w:numFmt w:val="bullet"/>
      <w:lvlText w:val=""/>
      <w:lvlJc w:val="left"/>
      <w:pPr>
        <w:ind w:left="1068" w:hanging="360"/>
      </w:pPr>
      <w:rPr>
        <w:rFonts w:ascii="Symbol" w:hAnsi="Symbol" w:hint="default"/>
      </w:rPr>
    </w:lvl>
    <w:lvl w:ilvl="1" w:tplc="9646A438">
      <w:numFmt w:val="bullet"/>
      <w:lvlText w:val="-"/>
      <w:lvlJc w:val="left"/>
      <w:pPr>
        <w:ind w:left="1788" w:hanging="360"/>
      </w:pPr>
      <w:rPr>
        <w:rFonts w:ascii="Calibri" w:eastAsiaTheme="minorHAnsi"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75E2406F"/>
    <w:multiLevelType w:val="hybridMultilevel"/>
    <w:tmpl w:val="22A20F3A"/>
    <w:lvl w:ilvl="0" w:tplc="9D74FAAE">
      <w:start w:val="1"/>
      <w:numFmt w:val="bullet"/>
      <w:lvlText w:val=""/>
      <w:lvlJc w:val="left"/>
      <w:pPr>
        <w:ind w:left="1068" w:hanging="360"/>
      </w:pPr>
      <w:rPr>
        <w:rFonts w:ascii="Wingdings" w:hAnsi="Wingdings" w:hint="default"/>
        <w:color w:val="C00000"/>
      </w:rPr>
    </w:lvl>
    <w:lvl w:ilvl="1" w:tplc="040C0003" w:tentative="1">
      <w:start w:val="1"/>
      <w:numFmt w:val="bullet"/>
      <w:lvlText w:val="o"/>
      <w:lvlJc w:val="left"/>
      <w:pPr>
        <w:ind w:left="336" w:hanging="360"/>
      </w:pPr>
      <w:rPr>
        <w:rFonts w:ascii="Courier New" w:hAnsi="Courier New" w:cs="Courier New" w:hint="default"/>
      </w:rPr>
    </w:lvl>
    <w:lvl w:ilvl="2" w:tplc="040C0005" w:tentative="1">
      <w:start w:val="1"/>
      <w:numFmt w:val="bullet"/>
      <w:lvlText w:val=""/>
      <w:lvlJc w:val="left"/>
      <w:pPr>
        <w:ind w:left="1056" w:hanging="360"/>
      </w:pPr>
      <w:rPr>
        <w:rFonts w:ascii="Wingdings" w:hAnsi="Wingdings" w:hint="default"/>
      </w:rPr>
    </w:lvl>
    <w:lvl w:ilvl="3" w:tplc="040C0001" w:tentative="1">
      <w:start w:val="1"/>
      <w:numFmt w:val="bullet"/>
      <w:lvlText w:val=""/>
      <w:lvlJc w:val="left"/>
      <w:pPr>
        <w:ind w:left="1776" w:hanging="360"/>
      </w:pPr>
      <w:rPr>
        <w:rFonts w:ascii="Symbol" w:hAnsi="Symbol" w:hint="default"/>
      </w:rPr>
    </w:lvl>
    <w:lvl w:ilvl="4" w:tplc="040C0003" w:tentative="1">
      <w:start w:val="1"/>
      <w:numFmt w:val="bullet"/>
      <w:lvlText w:val="o"/>
      <w:lvlJc w:val="left"/>
      <w:pPr>
        <w:ind w:left="2496" w:hanging="360"/>
      </w:pPr>
      <w:rPr>
        <w:rFonts w:ascii="Courier New" w:hAnsi="Courier New" w:cs="Courier New" w:hint="default"/>
      </w:rPr>
    </w:lvl>
    <w:lvl w:ilvl="5" w:tplc="040C0005" w:tentative="1">
      <w:start w:val="1"/>
      <w:numFmt w:val="bullet"/>
      <w:lvlText w:val=""/>
      <w:lvlJc w:val="left"/>
      <w:pPr>
        <w:ind w:left="3216" w:hanging="360"/>
      </w:pPr>
      <w:rPr>
        <w:rFonts w:ascii="Wingdings" w:hAnsi="Wingdings" w:hint="default"/>
      </w:rPr>
    </w:lvl>
    <w:lvl w:ilvl="6" w:tplc="040C0001" w:tentative="1">
      <w:start w:val="1"/>
      <w:numFmt w:val="bullet"/>
      <w:lvlText w:val=""/>
      <w:lvlJc w:val="left"/>
      <w:pPr>
        <w:ind w:left="3936" w:hanging="360"/>
      </w:pPr>
      <w:rPr>
        <w:rFonts w:ascii="Symbol" w:hAnsi="Symbol" w:hint="default"/>
      </w:rPr>
    </w:lvl>
    <w:lvl w:ilvl="7" w:tplc="040C0003" w:tentative="1">
      <w:start w:val="1"/>
      <w:numFmt w:val="bullet"/>
      <w:lvlText w:val="o"/>
      <w:lvlJc w:val="left"/>
      <w:pPr>
        <w:ind w:left="4656" w:hanging="360"/>
      </w:pPr>
      <w:rPr>
        <w:rFonts w:ascii="Courier New" w:hAnsi="Courier New" w:cs="Courier New" w:hint="default"/>
      </w:rPr>
    </w:lvl>
    <w:lvl w:ilvl="8" w:tplc="040C0005" w:tentative="1">
      <w:start w:val="1"/>
      <w:numFmt w:val="bullet"/>
      <w:lvlText w:val=""/>
      <w:lvlJc w:val="left"/>
      <w:pPr>
        <w:ind w:left="5376" w:hanging="360"/>
      </w:pPr>
      <w:rPr>
        <w:rFonts w:ascii="Wingdings" w:hAnsi="Wingdings" w:hint="default"/>
      </w:rPr>
    </w:lvl>
  </w:abstractNum>
  <w:num w:numId="1">
    <w:abstractNumId w:val="9"/>
  </w:num>
  <w:num w:numId="2">
    <w:abstractNumId w:val="3"/>
  </w:num>
  <w:num w:numId="3">
    <w:abstractNumId w:val="10"/>
  </w:num>
  <w:num w:numId="4">
    <w:abstractNumId w:val="13"/>
  </w:num>
  <w:num w:numId="5">
    <w:abstractNumId w:val="14"/>
  </w:num>
  <w:num w:numId="6">
    <w:abstractNumId w:val="5"/>
  </w:num>
  <w:num w:numId="7">
    <w:abstractNumId w:val="6"/>
  </w:num>
  <w:num w:numId="8">
    <w:abstractNumId w:val="7"/>
  </w:num>
  <w:num w:numId="9">
    <w:abstractNumId w:val="12"/>
  </w:num>
  <w:num w:numId="10">
    <w:abstractNumId w:val="4"/>
  </w:num>
  <w:num w:numId="11">
    <w:abstractNumId w:val="15"/>
  </w:num>
  <w:num w:numId="12">
    <w:abstractNumId w:val="1"/>
  </w:num>
  <w:num w:numId="13">
    <w:abstractNumId w:val="2"/>
  </w:num>
  <w:num w:numId="14">
    <w:abstractNumId w:val="0"/>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D1"/>
    <w:rsid w:val="00123C44"/>
    <w:rsid w:val="00176BD1"/>
    <w:rsid w:val="00182F86"/>
    <w:rsid w:val="00236DFF"/>
    <w:rsid w:val="003C03C5"/>
    <w:rsid w:val="005120A5"/>
    <w:rsid w:val="0053128D"/>
    <w:rsid w:val="006C51E8"/>
    <w:rsid w:val="00B242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FA5C7-8F78-4BE3-A6F2-BC14B063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D1"/>
  </w:style>
  <w:style w:type="paragraph" w:styleId="Titre1">
    <w:name w:val="heading 1"/>
    <w:basedOn w:val="Normal"/>
    <w:next w:val="Normal"/>
    <w:link w:val="Titre1Car"/>
    <w:uiPriority w:val="9"/>
    <w:qFormat/>
    <w:rsid w:val="003C03C5"/>
    <w:pPr>
      <w:keepNext/>
      <w:keepLines/>
      <w:numPr>
        <w:numId w:val="15"/>
      </w:numPr>
      <w:pBdr>
        <w:bottom w:val="single" w:sz="4" w:space="1" w:color="auto"/>
      </w:pBdr>
      <w:spacing w:before="240" w:after="120" w:line="240" w:lineRule="auto"/>
      <w:jc w:val="both"/>
      <w:outlineLvl w:val="0"/>
    </w:pPr>
    <w:rPr>
      <w:rFonts w:eastAsiaTheme="majorEastAsia" w:cstheme="minorHAnsi"/>
      <w:b/>
      <w:bCs/>
      <w:color w:val="0000CC"/>
      <w:sz w:val="28"/>
      <w:szCs w:val="28"/>
    </w:rPr>
  </w:style>
  <w:style w:type="paragraph" w:styleId="Titre2">
    <w:name w:val="heading 2"/>
    <w:basedOn w:val="Normal"/>
    <w:next w:val="Normal"/>
    <w:link w:val="Titre2Car"/>
    <w:uiPriority w:val="9"/>
    <w:unhideWhenUsed/>
    <w:qFormat/>
    <w:rsid w:val="003C03C5"/>
    <w:pPr>
      <w:keepNext/>
      <w:keepLines/>
      <w:numPr>
        <w:ilvl w:val="1"/>
        <w:numId w:val="15"/>
      </w:numPr>
      <w:spacing w:before="240" w:after="120" w:line="240" w:lineRule="auto"/>
      <w:jc w:val="both"/>
      <w:outlineLvl w:val="1"/>
    </w:pPr>
    <w:rPr>
      <w:rFonts w:eastAsiaTheme="majorEastAsia" w:cstheme="minorHAnsi"/>
      <w:b/>
      <w:bCs/>
      <w:color w:val="244061" w:themeColor="accent1" w:themeShade="80"/>
      <w:sz w:val="28"/>
      <w:szCs w:val="28"/>
    </w:rPr>
  </w:style>
  <w:style w:type="paragraph" w:styleId="Titre3">
    <w:name w:val="heading 3"/>
    <w:basedOn w:val="Normal"/>
    <w:next w:val="Normal"/>
    <w:link w:val="Titre3Car"/>
    <w:uiPriority w:val="9"/>
    <w:unhideWhenUsed/>
    <w:qFormat/>
    <w:rsid w:val="003C03C5"/>
    <w:pPr>
      <w:keepNext/>
      <w:keepLines/>
      <w:numPr>
        <w:ilvl w:val="2"/>
        <w:numId w:val="15"/>
      </w:numPr>
      <w:spacing w:before="240" w:after="120" w:line="240" w:lineRule="auto"/>
      <w:jc w:val="both"/>
      <w:outlineLvl w:val="2"/>
    </w:pPr>
    <w:rPr>
      <w:rFonts w:eastAsiaTheme="majorEastAsia" w:cstheme="minorHAnsi"/>
      <w:b/>
      <w:bCs/>
      <w:color w:val="244061" w:themeColor="accent1" w:themeShade="80"/>
      <w:sz w:val="28"/>
      <w:szCs w:val="28"/>
    </w:rPr>
  </w:style>
  <w:style w:type="paragraph" w:styleId="Titre4">
    <w:name w:val="heading 4"/>
    <w:basedOn w:val="Normal"/>
    <w:next w:val="Normal"/>
    <w:link w:val="Titre4Car"/>
    <w:uiPriority w:val="9"/>
    <w:unhideWhenUsed/>
    <w:qFormat/>
    <w:rsid w:val="003C03C5"/>
    <w:pPr>
      <w:keepNext/>
      <w:keepLines/>
      <w:numPr>
        <w:ilvl w:val="3"/>
        <w:numId w:val="15"/>
      </w:numPr>
      <w:spacing w:before="240" w:after="120" w:line="240" w:lineRule="auto"/>
      <w:jc w:val="both"/>
      <w:outlineLvl w:val="3"/>
    </w:pPr>
    <w:rPr>
      <w:rFonts w:eastAsiaTheme="majorEastAsia" w:cstheme="minorHAnsi"/>
      <w:b/>
      <w:bCs/>
      <w:i/>
      <w:iCs/>
      <w:color w:val="244061" w:themeColor="accent1" w:themeShade="80"/>
      <w:sz w:val="28"/>
      <w:szCs w:val="28"/>
    </w:rPr>
  </w:style>
  <w:style w:type="paragraph" w:styleId="Titre5">
    <w:name w:val="heading 5"/>
    <w:basedOn w:val="Normal"/>
    <w:next w:val="Normal"/>
    <w:link w:val="Titre5Car"/>
    <w:uiPriority w:val="9"/>
    <w:semiHidden/>
    <w:unhideWhenUsed/>
    <w:qFormat/>
    <w:rsid w:val="003C03C5"/>
    <w:pPr>
      <w:keepNext/>
      <w:keepLines/>
      <w:numPr>
        <w:ilvl w:val="4"/>
        <w:numId w:val="15"/>
      </w:numPr>
      <w:spacing w:before="40" w:after="120" w:line="240" w:lineRule="auto"/>
      <w:jc w:val="both"/>
      <w:outlineLvl w:val="4"/>
    </w:pPr>
    <w:rPr>
      <w:rFonts w:asciiTheme="majorHAnsi" w:eastAsiaTheme="majorEastAsia" w:hAnsiTheme="majorHAnsi" w:cstheme="majorBidi"/>
      <w:color w:val="365F91" w:themeColor="accent1" w:themeShade="BF"/>
      <w:sz w:val="24"/>
      <w:szCs w:val="24"/>
    </w:rPr>
  </w:style>
  <w:style w:type="paragraph" w:styleId="Titre6">
    <w:name w:val="heading 6"/>
    <w:basedOn w:val="Normal"/>
    <w:next w:val="Normal"/>
    <w:link w:val="Titre6Car"/>
    <w:uiPriority w:val="9"/>
    <w:semiHidden/>
    <w:unhideWhenUsed/>
    <w:qFormat/>
    <w:rsid w:val="003C03C5"/>
    <w:pPr>
      <w:keepNext/>
      <w:keepLines/>
      <w:numPr>
        <w:ilvl w:val="5"/>
        <w:numId w:val="15"/>
      </w:numPr>
      <w:spacing w:before="40" w:after="120" w:line="240" w:lineRule="auto"/>
      <w:jc w:val="both"/>
      <w:outlineLvl w:val="5"/>
    </w:pPr>
    <w:rPr>
      <w:rFonts w:asciiTheme="majorHAnsi" w:eastAsiaTheme="majorEastAsia" w:hAnsiTheme="majorHAnsi" w:cstheme="majorBidi"/>
      <w:color w:val="243F60" w:themeColor="accent1" w:themeShade="7F"/>
      <w:sz w:val="24"/>
      <w:szCs w:val="24"/>
    </w:rPr>
  </w:style>
  <w:style w:type="paragraph" w:styleId="Titre7">
    <w:name w:val="heading 7"/>
    <w:basedOn w:val="Normal"/>
    <w:next w:val="Normal"/>
    <w:link w:val="Titre7Car"/>
    <w:uiPriority w:val="9"/>
    <w:semiHidden/>
    <w:unhideWhenUsed/>
    <w:qFormat/>
    <w:rsid w:val="003C03C5"/>
    <w:pPr>
      <w:keepNext/>
      <w:keepLines/>
      <w:numPr>
        <w:ilvl w:val="6"/>
        <w:numId w:val="15"/>
      </w:numPr>
      <w:spacing w:before="40" w:after="120" w:line="240" w:lineRule="auto"/>
      <w:jc w:val="both"/>
      <w:outlineLvl w:val="6"/>
    </w:pPr>
    <w:rPr>
      <w:rFonts w:asciiTheme="majorHAnsi" w:eastAsiaTheme="majorEastAsia" w:hAnsiTheme="majorHAnsi" w:cstheme="majorBidi"/>
      <w:i/>
      <w:iCs/>
      <w:color w:val="243F60" w:themeColor="accent1" w:themeShade="7F"/>
      <w:sz w:val="24"/>
      <w:szCs w:val="24"/>
    </w:rPr>
  </w:style>
  <w:style w:type="paragraph" w:styleId="Titre8">
    <w:name w:val="heading 8"/>
    <w:basedOn w:val="Normal"/>
    <w:next w:val="Normal"/>
    <w:link w:val="Titre8Car"/>
    <w:uiPriority w:val="9"/>
    <w:semiHidden/>
    <w:unhideWhenUsed/>
    <w:qFormat/>
    <w:rsid w:val="003C03C5"/>
    <w:pPr>
      <w:keepNext/>
      <w:keepLines/>
      <w:numPr>
        <w:ilvl w:val="7"/>
        <w:numId w:val="15"/>
      </w:numPr>
      <w:spacing w:before="40" w:after="120" w:line="240" w:lineRule="auto"/>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03C5"/>
    <w:pPr>
      <w:keepNext/>
      <w:keepLines/>
      <w:numPr>
        <w:ilvl w:val="8"/>
        <w:numId w:val="15"/>
      </w:numPr>
      <w:spacing w:before="40" w:after="12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_Paragraph,Multilevel para_II,List Paragraph1,lp1,List Bullet-OpsManual,Title Style 1,MC Paragraphe Liste,Ha"/>
    <w:basedOn w:val="Normal"/>
    <w:uiPriority w:val="34"/>
    <w:qFormat/>
    <w:rsid w:val="00176BD1"/>
    <w:pPr>
      <w:ind w:left="720"/>
      <w:contextualSpacing/>
    </w:pPr>
  </w:style>
  <w:style w:type="character" w:customStyle="1" w:styleId="Listecouleur-Accent1Car">
    <w:name w:val="Liste couleur - Accent 1 Car"/>
    <w:aliases w:val="References Car,Bullets Car,Numbered List Paragraph Car,ReferencesCxSpLast Car,List Paragraph (numbered (a)) Car,List Paragraph nowy Car,List_Paragraph Car,Multilevel para_II Car,List Paragraph1 Car,lp1 Car,Title Style 1 Car"/>
    <w:link w:val="Listecouleur-Accent1"/>
    <w:uiPriority w:val="34"/>
    <w:qFormat/>
    <w:locked/>
    <w:rsid w:val="00176BD1"/>
  </w:style>
  <w:style w:type="table" w:styleId="Listecouleur-Accent1">
    <w:name w:val="Colorful List Accent 1"/>
    <w:basedOn w:val="TableauNormal"/>
    <w:link w:val="Listecouleur-Accent1Car"/>
    <w:uiPriority w:val="34"/>
    <w:rsid w:val="00176B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Liste1">
    <w:name w:val="Liste 1"/>
    <w:basedOn w:val="Normal"/>
    <w:qFormat/>
    <w:rsid w:val="00176BD1"/>
    <w:pPr>
      <w:numPr>
        <w:numId w:val="3"/>
      </w:numPr>
      <w:spacing w:before="120" w:after="120" w:line="240" w:lineRule="auto"/>
      <w:contextualSpacing/>
      <w:jc w:val="both"/>
    </w:pPr>
  </w:style>
  <w:style w:type="character" w:styleId="Lienhypertexte">
    <w:name w:val="Hyperlink"/>
    <w:basedOn w:val="Policepardfaut"/>
    <w:uiPriority w:val="99"/>
    <w:unhideWhenUsed/>
    <w:rsid w:val="00176BD1"/>
    <w:rPr>
      <w:color w:val="0000FF" w:themeColor="hyperlink"/>
      <w:u w:val="single"/>
    </w:rPr>
  </w:style>
  <w:style w:type="paragraph" w:styleId="NormalWeb">
    <w:name w:val="Normal (Web)"/>
    <w:basedOn w:val="Normal"/>
    <w:uiPriority w:val="99"/>
    <w:unhideWhenUsed/>
    <w:rsid w:val="00176BD1"/>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176BD1"/>
  </w:style>
  <w:style w:type="paragraph" w:styleId="Textedebulles">
    <w:name w:val="Balloon Text"/>
    <w:basedOn w:val="Normal"/>
    <w:link w:val="TextedebullesCar"/>
    <w:uiPriority w:val="99"/>
    <w:semiHidden/>
    <w:unhideWhenUsed/>
    <w:rsid w:val="00176B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BD1"/>
    <w:rPr>
      <w:rFonts w:ascii="Tahoma" w:hAnsi="Tahoma" w:cs="Tahoma"/>
      <w:sz w:val="16"/>
      <w:szCs w:val="16"/>
    </w:rPr>
  </w:style>
  <w:style w:type="character" w:customStyle="1" w:styleId="Titre1Car">
    <w:name w:val="Titre 1 Car"/>
    <w:basedOn w:val="Policepardfaut"/>
    <w:link w:val="Titre1"/>
    <w:uiPriority w:val="9"/>
    <w:rsid w:val="003C03C5"/>
    <w:rPr>
      <w:rFonts w:eastAsiaTheme="majorEastAsia" w:cstheme="minorHAnsi"/>
      <w:b/>
      <w:bCs/>
      <w:color w:val="0000CC"/>
      <w:sz w:val="28"/>
      <w:szCs w:val="28"/>
    </w:rPr>
  </w:style>
  <w:style w:type="character" w:customStyle="1" w:styleId="Titre2Car">
    <w:name w:val="Titre 2 Car"/>
    <w:basedOn w:val="Policepardfaut"/>
    <w:link w:val="Titre2"/>
    <w:uiPriority w:val="9"/>
    <w:rsid w:val="003C03C5"/>
    <w:rPr>
      <w:rFonts w:eastAsiaTheme="majorEastAsia" w:cstheme="minorHAnsi"/>
      <w:b/>
      <w:bCs/>
      <w:color w:val="244061" w:themeColor="accent1" w:themeShade="80"/>
      <w:sz w:val="28"/>
      <w:szCs w:val="28"/>
    </w:rPr>
  </w:style>
  <w:style w:type="character" w:customStyle="1" w:styleId="Titre3Car">
    <w:name w:val="Titre 3 Car"/>
    <w:basedOn w:val="Policepardfaut"/>
    <w:link w:val="Titre3"/>
    <w:uiPriority w:val="9"/>
    <w:rsid w:val="003C03C5"/>
    <w:rPr>
      <w:rFonts w:eastAsiaTheme="majorEastAsia" w:cstheme="minorHAnsi"/>
      <w:b/>
      <w:bCs/>
      <w:color w:val="244061" w:themeColor="accent1" w:themeShade="80"/>
      <w:sz w:val="28"/>
      <w:szCs w:val="28"/>
    </w:rPr>
  </w:style>
  <w:style w:type="character" w:customStyle="1" w:styleId="Titre4Car">
    <w:name w:val="Titre 4 Car"/>
    <w:basedOn w:val="Policepardfaut"/>
    <w:link w:val="Titre4"/>
    <w:uiPriority w:val="9"/>
    <w:rsid w:val="003C03C5"/>
    <w:rPr>
      <w:rFonts w:eastAsiaTheme="majorEastAsia" w:cstheme="minorHAnsi"/>
      <w:b/>
      <w:bCs/>
      <w:i/>
      <w:iCs/>
      <w:color w:val="244061" w:themeColor="accent1" w:themeShade="80"/>
      <w:sz w:val="28"/>
      <w:szCs w:val="28"/>
    </w:rPr>
  </w:style>
  <w:style w:type="character" w:customStyle="1" w:styleId="Titre5Car">
    <w:name w:val="Titre 5 Car"/>
    <w:basedOn w:val="Policepardfaut"/>
    <w:link w:val="Titre5"/>
    <w:uiPriority w:val="9"/>
    <w:semiHidden/>
    <w:rsid w:val="003C03C5"/>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3C03C5"/>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3C03C5"/>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3C03C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03C5"/>
    <w:rPr>
      <w:rFonts w:asciiTheme="majorHAnsi" w:eastAsiaTheme="majorEastAsia" w:hAnsiTheme="majorHAnsi" w:cstheme="majorBidi"/>
      <w:i/>
      <w:iCs/>
      <w:color w:val="272727" w:themeColor="text1" w:themeTint="D8"/>
      <w:sz w:val="21"/>
      <w:szCs w:val="21"/>
    </w:rPr>
  </w:style>
  <w:style w:type="paragraph" w:styleId="Liste">
    <w:name w:val="List"/>
    <w:basedOn w:val="Normal"/>
    <w:uiPriority w:val="99"/>
    <w:unhideWhenUsed/>
    <w:rsid w:val="003C03C5"/>
    <w:pPr>
      <w:numPr>
        <w:numId w:val="16"/>
      </w:numPr>
      <w:spacing w:after="120" w:line="240" w:lineRule="auto"/>
      <w:jc w:val="both"/>
    </w:pPr>
    <w:rPr>
      <w:rFonts w:ascii="Calibri" w:hAnsi="Calibri" w:cs="Times New Roman"/>
      <w:sz w:val="24"/>
      <w:szCs w:val="24"/>
      <w:lang w:bidi="ar-TN"/>
    </w:rPr>
  </w:style>
  <w:style w:type="table" w:customStyle="1" w:styleId="TableauGrille5Fonc-Accentuation11">
    <w:name w:val="Tableau Grille 5 Foncé - Accentuation 11"/>
    <w:basedOn w:val="TableauNormal"/>
    <w:uiPriority w:val="50"/>
    <w:rsid w:val="003C03C5"/>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C.t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tn" TargetMode="External"/><Relationship Id="rId11" Type="http://schemas.openxmlformats.org/officeDocument/2006/relationships/image" Target="media/image4.png"/><Relationship Id="rId5" Type="http://schemas.openxmlformats.org/officeDocument/2006/relationships/hyperlink" Target="http://www.4C.t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4688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Driss Sayeh</cp:lastModifiedBy>
  <cp:revision>2</cp:revision>
  <dcterms:created xsi:type="dcterms:W3CDTF">2020-01-23T12:35:00Z</dcterms:created>
  <dcterms:modified xsi:type="dcterms:W3CDTF">2020-01-23T12:35:00Z</dcterms:modified>
</cp:coreProperties>
</file>